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Hood Max</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80"/>
        <w:spacing w:after="0" w:line="320" w:lineRule="auto"/>
        <w:rPr>
          <w:sz w:val="20"/>
          <w:szCs w:val="20"/>
          <w:color w:val="auto"/>
        </w:rPr>
      </w:pPr>
      <w:r>
        <w:rPr>
          <w:rFonts w:ascii="Times New Roman" w:cs="Times New Roman" w:eastAsia="Times New Roman" w:hAnsi="Times New Roman"/>
          <w:sz w:val="17"/>
          <w:szCs w:val="17"/>
          <w:color w:val="0000FF"/>
        </w:rPr>
        <w:t>6600 NORTH MILITARY TRAIL LEGAL DEPARTMENT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ODP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ODP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Co-CFO and SVP</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760" w:type="dxa"/>
            <w:vAlign w:val="bottom"/>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80" w:type="dxa"/>
            <w:vAlign w:val="bottom"/>
            <w:gridSpan w:val="2"/>
            <w:vMerge w:val="continue"/>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BOCA RATON  FL</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33496</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21,853</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line="319" w:lineRule="exact"/>
              <w:rPr>
                <w:sz w:val="20"/>
                <w:szCs w:val="20"/>
                <w:color w:val="auto"/>
              </w:rPr>
            </w:pPr>
            <w:r>
              <w:rPr>
                <w:rFonts w:ascii="Arial" w:cs="Arial" w:eastAsia="Arial" w:hAnsi="Arial"/>
                <w:sz w:val="34"/>
                <w:szCs w:val="34"/>
                <w:color w:val="000000"/>
                <w:w w:val="87"/>
                <w:vertAlign w:val="subscript"/>
              </w:rPr>
              <w:t>$</w:t>
            </w:r>
            <w:r>
              <w:rPr>
                <w:rFonts w:ascii="Times New Roman" w:cs="Times New Roman" w:eastAsia="Times New Roman" w:hAnsi="Times New Roman"/>
                <w:sz w:val="34"/>
                <w:szCs w:val="34"/>
                <w:color w:val="0000FF"/>
                <w:w w:val="87"/>
                <w:vertAlign w:val="subscript"/>
              </w:rPr>
              <w:t>28</w:t>
            </w:r>
            <w:r>
              <w:rPr>
                <w:rFonts w:ascii="Times New Roman" w:cs="Times New Roman" w:eastAsia="Times New Roman" w:hAnsi="Times New Roman"/>
                <w:sz w:val="11"/>
                <w:szCs w:val="11"/>
                <w:color w:val="008000"/>
                <w:w w:val="87"/>
              </w:rPr>
              <w:t>(2)</w:t>
            </w:r>
          </w:p>
        </w:tc>
        <w:tc>
          <w:tcPr>
            <w:tcW w:w="1200" w:type="dxa"/>
            <w:vAlign w:val="bottom"/>
            <w:tcBorders>
              <w:bottom w:val="single" w:sz="8" w:color="2C2C2C"/>
            </w:tcBorders>
            <w:gridSpan w:val="2"/>
          </w:tcPr>
          <w:p>
            <w:pPr>
              <w:jc w:val="center"/>
              <w:ind w:right="257"/>
              <w:spacing w:after="0"/>
              <w:rPr>
                <w:sz w:val="20"/>
                <w:szCs w:val="20"/>
                <w:color w:val="auto"/>
              </w:rPr>
            </w:pPr>
            <w:r>
              <w:rPr>
                <w:rFonts w:ascii="Times New Roman" w:cs="Times New Roman" w:eastAsia="Times New Roman" w:hAnsi="Times New Roman"/>
                <w:sz w:val="17"/>
                <w:szCs w:val="17"/>
                <w:color w:val="0000FF"/>
              </w:rPr>
              <w:t>19,117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19,117</w:t>
            </w:r>
            <w:r>
              <w:rPr>
                <w:rFonts w:ascii="Times New Roman" w:cs="Times New Roman" w:eastAsia="Times New Roman" w:hAnsi="Times New Roman"/>
                <w:sz w:val="22"/>
                <w:szCs w:val="22"/>
                <w:color w:val="008000"/>
                <w:vertAlign w:val="superscript"/>
              </w:rPr>
              <w:t>(3)</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line="319" w:lineRule="exact"/>
              <w:rPr>
                <w:sz w:val="20"/>
                <w:szCs w:val="20"/>
                <w:color w:val="auto"/>
              </w:rPr>
            </w:pPr>
            <w:r>
              <w:rPr>
                <w:rFonts w:ascii="Arial" w:cs="Arial" w:eastAsia="Arial" w:hAnsi="Arial"/>
                <w:sz w:val="34"/>
                <w:szCs w:val="34"/>
                <w:color w:val="000000"/>
                <w:w w:val="87"/>
                <w:vertAlign w:val="subscript"/>
              </w:rPr>
              <w:t>$</w:t>
            </w:r>
            <w:r>
              <w:rPr>
                <w:rFonts w:ascii="Times New Roman" w:cs="Times New Roman" w:eastAsia="Times New Roman" w:hAnsi="Times New Roman"/>
                <w:sz w:val="34"/>
                <w:szCs w:val="34"/>
                <w:color w:val="0000FF"/>
                <w:w w:val="87"/>
                <w:vertAlign w:val="subscript"/>
              </w:rPr>
              <w:t>28</w:t>
            </w:r>
            <w:r>
              <w:rPr>
                <w:rFonts w:ascii="Times New Roman" w:cs="Times New Roman" w:eastAsia="Times New Roman" w:hAnsi="Times New Roman"/>
                <w:sz w:val="11"/>
                <w:szCs w:val="11"/>
                <w:color w:val="008000"/>
                <w:w w:val="87"/>
              </w:rPr>
              <w:t>(3)</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517"/>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10, 2025, pursuant to that certain Agreement and Plan of Merger, dated as of September 22, 2025 (the "Merger Agreement"), by and among ODP Corporation (the "Issuer"), ACR Ocean Resources LLC ("Parent") and Vail Holdings 1, Inc., a wholly owned subsidiary of Parent ("Merger Sub"), Merger Sub merged with and into the Issuer (the "Merger"), with the Issuer surviving the Merger as a wholly owned subsidiary of Parent.</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each share of Issuer common stock held by the Reporting Person immediately prior to the closing of the Merger (the "Effective Time") was converted into the right to receive $28.00 in cash, without interest, net of all applicable withholding taxes (the "Merger Consideration").</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unvested restricted stock units ("RSUs") held by the Reporting Person immediately prior to the Effective Time. Pursuant to the Merger Agreement, all unvested RSUs were cancelled and converted into the right to receive an amount of cash equal to the Merger Consideration multiplied by (a) (i) the number of shares of Issuer common stock subject to such RSU immediately prior to the Effective Time, by (ii) the Merger Consideration, plus (b) any accrued and unpaid dividends or dividend equivalent rights corresponding to such RSUs, net of all applicable withholding taxes. The cash payment is subject to the same terms and conditions as applied to such RSUs immediately prior to the Effective Time (except that such RSUs will settle in cash in lieu of common stock).</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Sarah E. Hlavinka,</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12/10/2025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8506" TargetMode="External"/><Relationship Id="rId14" Type="http://schemas.openxmlformats.org/officeDocument/2006/relationships/hyperlink" Target="http://www.sec.gov/cgi-bin/browse-edgar?action=getcompany&amp;CIK=0000800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2025-12-10T17:49:24Z</dcterms:created>
  <dcterms:modified xsi:type="dcterms:W3CDTF">2025-12-10T17:49:24Z</dcterms:modified>
</cp:coreProperties>
</file>