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odpcorp_form15-122225.htm"/>
      <w:bookmarkStart w:id="1" w:name="ksodpcorp_form15122225"/>
      <w:bookmarkStart w:id="2" w:name="odpcorp_form15-122225.htm"/>
      <w:bookmarkStart w:id="3" w:name="ksodpcorp_form15122225"/>
      <w:bookmarkEnd w:id="2"/>
      <w:bookmarkEnd w:id="3"/>
    </w:p>
    <w:p>
      <w:pPr>
        <w:pStyle w:val="TextBody"/>
        <w:bidi w:val="0"/>
        <w:spacing w:before="103" w:after="283"/>
        <w:jc w:val="left"/>
        <w:rPr/>
      </w:pPr>
      <w:r>
        <w:rPr/>
      </w:r>
    </w:p>
    <w:p>
      <w:pPr>
        <w:pStyle w:val="TextBody"/>
        <w:bidi w:val="0"/>
        <w:spacing w:before="0" w:after="0"/>
        <w:ind w:left="422" w:right="1262" w:hanging="0"/>
        <w:jc w:val="center"/>
        <w:rPr>
          <w:rFonts w:ascii="Times New Roman;Times;serif" w:hAnsi="Times New Roman;Times;serif"/>
          <w:b/>
          <w:color w:val="000000"/>
          <w:sz w:val="24"/>
        </w:rPr>
      </w:pPr>
      <w:r>
        <w:rPr>
          <w:rFonts w:ascii="Times New Roman;Times;serif" w:hAnsi="Times New Roman;Times;serif"/>
          <w:b/>
          <w:color w:val="000000"/>
          <w:sz w:val="24"/>
        </w:rPr>
        <w:t>UNITED STATES</w:t>
      </w:r>
    </w:p>
    <w:p>
      <w:pPr>
        <w:pStyle w:val="TextBody"/>
        <w:bidi w:val="0"/>
        <w:spacing w:before="0" w:after="0"/>
        <w:ind w:left="422" w:right="1266" w:hanging="0"/>
        <w:jc w:val="center"/>
        <w:rPr>
          <w:rFonts w:ascii="Times New Roman;Times;serif" w:hAnsi="Times New Roman;Times;serif"/>
          <w:b/>
          <w:color w:val="000000"/>
          <w:sz w:val="24"/>
        </w:rPr>
      </w:pPr>
      <w:r>
        <w:rPr>
          <w:rFonts w:ascii="Times New Roman;Times;serif" w:hAnsi="Times New Roman;Times;serif"/>
          <w:b/>
          <w:color w:val="000000"/>
          <w:sz w:val="24"/>
        </w:rPr>
        <w:t>SECURITIES AND EXCHANGE COMMISSION</w:t>
      </w:r>
    </w:p>
    <w:p>
      <w:pPr>
        <w:pStyle w:val="TextBody"/>
        <w:bidi w:val="0"/>
        <w:spacing w:before="0" w:after="0"/>
        <w:ind w:left="422" w:right="1264" w:hanging="0"/>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240" w:after="283"/>
        <w:ind w:left="422" w:right="1144" w:hanging="0"/>
        <w:jc w:val="center"/>
        <w:rPr>
          <w:rFonts w:ascii="Times New Roman;Times;serif" w:hAnsi="Times New Roman;Times;serif"/>
          <w:b/>
          <w:color w:val="000000"/>
          <w:sz w:val="24"/>
        </w:rPr>
      </w:pPr>
      <w:r>
        <w:rPr>
          <w:rFonts w:ascii="Times New Roman;Times;serif" w:hAnsi="Times New Roman;Times;serif"/>
          <w:b/>
          <w:color w:val="000000"/>
          <w:sz w:val="24"/>
        </w:rPr>
        <w:t>FORM 15</w:t>
      </w:r>
    </w:p>
    <w:p>
      <w:pPr>
        <w:pStyle w:val="TextBody"/>
        <w:bidi w:val="0"/>
        <w:spacing w:before="274" w:after="283"/>
        <w:ind w:left="503" w:right="1221" w:hanging="3"/>
        <w:jc w:val="center"/>
        <w:rPr>
          <w:rFonts w:ascii="Times New Roman;Times;serif" w:hAnsi="Times New Roman;Times;serif"/>
          <w:b/>
          <w:color w:val="000000"/>
          <w:sz w:val="24"/>
        </w:rPr>
      </w:pPr>
      <w:r>
        <w:rPr>
          <w:rFonts w:ascii="Times New Roman;Times;serif" w:hAnsi="Times New Roman;Times;serif"/>
          <w:b/>
          <w:color w:val="000000"/>
          <w:sz w:val="24"/>
        </w:rPr>
        <w:t>CERTIFICATION AND NOTICE OF TERMINATION OF REGISTRATION UNDER SECTION 12(g) OF THE SECURITIES EXCHANGE ACT OF 1934 OR SUSPENSION OF DUTY TO FILE REPORTS UNDER SECTIONS 13 AND 15(d) OF THE SECURITIES EXCHANGE ACT OF 1934.</w:t>
      </w:r>
    </w:p>
    <w:p>
      <w:pPr>
        <w:pStyle w:val="TextBody"/>
        <w:bidi w:val="0"/>
        <w:spacing w:before="273" w:after="283"/>
        <w:ind w:left="3959" w:right="0" w:hanging="0"/>
        <w:jc w:val="center"/>
        <w:rPr>
          <w:color w:val="000000"/>
        </w:rPr>
      </w:pPr>
      <w:r>
        <w:rPr>
          <w:color w:val="000000"/>
        </w:rPr>
        <w:t>       </w:t>
      </w:r>
      <w:r>
        <w:rPr>
          <w:rFonts w:ascii="Times New Roman;Times;serif" w:hAnsi="Times New Roman;Times;serif"/>
          <w:color w:val="000000"/>
          <w:sz w:val="24"/>
        </w:rPr>
        <w:t xml:space="preserve">Commission File Number </w:t>
      </w:r>
      <w:r>
        <w:rPr>
          <w:rFonts w:ascii="Times New Roman;Times;serif" w:hAnsi="Times New Roman;Times;serif"/>
          <w:color w:val="000000"/>
          <w:sz w:val="24"/>
          <w:u w:val="single"/>
        </w:rPr>
        <w:t>1-10948</w:t>
      </w:r>
      <w:r>
        <w:rPr>
          <w:rFonts w:ascii="Times New Roman;Times;serif" w:hAnsi="Times New Roman;Times;serif"/>
          <w:color w:val="000000"/>
          <w:sz w:val="20"/>
        </w:rPr>
        <w:t>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1014a31eb0ef4bed89d5f2613c858018"/>
      <w:bookmarkStart w:id="5" w:name="z1014a31eb0ef4bed89d5f2613c858018"/>
      <w:bookmarkEnd w:id="5"/>
    </w:p>
    <w:tbl>
      <w:tblPr>
        <w:tblW w:w="10205" w:type="dxa"/>
        <w:jc w:val="left"/>
        <w:tblInd w:w="0" w:type="dxa"/>
        <w:tblLayout w:type="fixed"/>
        <w:tblCellMar>
          <w:top w:w="0" w:type="dxa"/>
          <w:left w:w="0" w:type="dxa"/>
          <w:bottom w:w="28" w:type="dxa"/>
          <w:right w:w="0" w:type="dxa"/>
        </w:tblCellMar>
      </w:tblPr>
      <w:tblGrid>
        <w:gridCol w:w="75"/>
        <w:gridCol w:w="10055"/>
        <w:gridCol w:w="75"/>
      </w:tblGrid>
      <w:tr>
        <w:trPr/>
        <w:tc>
          <w:tcPr>
            <w:tcW w:w="75" w:type="dxa"/>
            <w:tcBorders>
              <w:bottom w:val="single" w:sz="12" w:space="0" w:color="000000"/>
            </w:tcBorders>
            <w:vAlign w:val="center"/>
          </w:tcPr>
          <w:p>
            <w:pPr>
              <w:pStyle w:val="TableContents"/>
              <w:bidi w:val="0"/>
              <w:spacing w:before="0" w:after="283"/>
              <w:jc w:val="left"/>
              <w:rPr/>
            </w:pPr>
            <w:r>
              <w:rPr/>
              <w:t> </w:t>
            </w:r>
          </w:p>
        </w:tc>
        <w:tc>
          <w:tcPr>
            <w:tcW w:w="10055" w:type="dxa"/>
            <w:tcBorders>
              <w:bottom w:val="single" w:sz="12" w:space="0" w:color="000000"/>
            </w:tcBorders>
            <w:vAlign w:val="center"/>
          </w:tcPr>
          <w:p>
            <w:pPr>
              <w:pStyle w:val="TableContents"/>
              <w:bidi w:val="0"/>
              <w:spacing w:before="0" w:after="0"/>
              <w:jc w:val="center"/>
              <w:rPr/>
            </w:pPr>
            <w:r>
              <w:rPr/>
              <w:t>THE ODP CORPORATION*</w:t>
            </w:r>
          </w:p>
        </w:tc>
        <w:tc>
          <w:tcPr>
            <w:tcW w:w="75" w:type="dxa"/>
            <w:tcBorders>
              <w:bottom w:val="single" w:sz="12"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0055" w:type="dxa"/>
            <w:tcBorders/>
            <w:tcMar>
              <w:bottom w:w="0" w:type="dxa"/>
            </w:tcMar>
            <w:vAlign w:val="center"/>
          </w:tcPr>
          <w:p>
            <w:pPr>
              <w:pStyle w:val="TableContents"/>
              <w:bidi w:val="0"/>
              <w:spacing w:before="0" w:after="0"/>
              <w:jc w:val="center"/>
              <w:rPr>
                <w:sz w:val="24"/>
              </w:rPr>
            </w:pPr>
            <w:r>
              <w:rPr>
                <w:sz w:val="24"/>
              </w:rPr>
              <w:t>(Exact name of registrant as specified in its charter)</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005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0055" w:type="dxa"/>
            <w:tcBorders/>
            <w:tcMar>
              <w:bottom w:w="0" w:type="dxa"/>
            </w:tcMar>
            <w:vAlign w:val="center"/>
          </w:tcPr>
          <w:p>
            <w:pPr>
              <w:pStyle w:val="TableContents"/>
              <w:bidi w:val="0"/>
              <w:spacing w:before="0" w:after="0"/>
              <w:jc w:val="center"/>
              <w:rPr/>
            </w:pPr>
            <w:r>
              <w:rPr/>
              <w:t>6600 North Military Trail</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0055" w:type="dxa"/>
            <w:tcBorders/>
            <w:tcMar>
              <w:bottom w:w="0" w:type="dxa"/>
            </w:tcMar>
            <w:vAlign w:val="center"/>
          </w:tcPr>
          <w:p>
            <w:pPr>
              <w:pStyle w:val="TableContents"/>
              <w:bidi w:val="0"/>
              <w:spacing w:before="0" w:after="0"/>
              <w:jc w:val="center"/>
              <w:rPr/>
            </w:pPr>
            <w:r>
              <w:rPr/>
              <w:t>Boca Raton, Florida 33496</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12" w:space="0" w:color="000000"/>
            </w:tcBorders>
            <w:vAlign w:val="center"/>
          </w:tcPr>
          <w:p>
            <w:pPr>
              <w:pStyle w:val="TableContents"/>
              <w:bidi w:val="0"/>
              <w:spacing w:before="0" w:after="283"/>
              <w:jc w:val="left"/>
              <w:rPr/>
            </w:pPr>
            <w:r>
              <w:rPr/>
              <w:t> </w:t>
            </w:r>
          </w:p>
        </w:tc>
        <w:tc>
          <w:tcPr>
            <w:tcW w:w="10055" w:type="dxa"/>
            <w:tcBorders>
              <w:bottom w:val="single" w:sz="12" w:space="0" w:color="000000"/>
            </w:tcBorders>
            <w:vAlign w:val="center"/>
          </w:tcPr>
          <w:p>
            <w:pPr>
              <w:pStyle w:val="TableContents"/>
              <w:bidi w:val="0"/>
              <w:spacing w:before="0" w:after="0"/>
              <w:jc w:val="center"/>
              <w:rPr/>
            </w:pPr>
            <w:r>
              <w:rPr/>
              <w:t>(561) 438-4800</w:t>
            </w:r>
          </w:p>
        </w:tc>
        <w:tc>
          <w:tcPr>
            <w:tcW w:w="75" w:type="dxa"/>
            <w:tcBorders>
              <w:bottom w:val="single" w:sz="12"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0055" w:type="dxa"/>
            <w:tcBorders/>
            <w:tcMar>
              <w:bottom w:w="0" w:type="dxa"/>
            </w:tcMar>
            <w:vAlign w:val="center"/>
          </w:tcPr>
          <w:p>
            <w:pPr>
              <w:pStyle w:val="TableContents"/>
              <w:bidi w:val="0"/>
              <w:spacing w:before="0" w:after="0"/>
              <w:jc w:val="center"/>
              <w:rPr>
                <w:sz w:val="24"/>
              </w:rPr>
            </w:pPr>
            <w:r>
              <w:rPr>
                <w:sz w:val="24"/>
              </w:rPr>
              <w:t>(Address, including zip code, and telephone number, including area code, of registrant’s principal executive offices)</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005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12" w:space="0" w:color="000000"/>
            </w:tcBorders>
            <w:vAlign w:val="center"/>
          </w:tcPr>
          <w:p>
            <w:pPr>
              <w:pStyle w:val="TableContents"/>
              <w:bidi w:val="0"/>
              <w:spacing w:before="0" w:after="283"/>
              <w:jc w:val="left"/>
              <w:rPr/>
            </w:pPr>
            <w:r>
              <w:rPr/>
              <w:t> </w:t>
            </w:r>
          </w:p>
        </w:tc>
        <w:tc>
          <w:tcPr>
            <w:tcW w:w="10055" w:type="dxa"/>
            <w:tcBorders>
              <w:bottom w:val="single" w:sz="12" w:space="0" w:color="000000"/>
            </w:tcBorders>
            <w:vAlign w:val="center"/>
          </w:tcPr>
          <w:p>
            <w:pPr>
              <w:pStyle w:val="TableContents"/>
              <w:bidi w:val="0"/>
              <w:spacing w:before="0" w:after="0"/>
              <w:jc w:val="center"/>
              <w:rPr/>
            </w:pPr>
            <w:r>
              <w:rPr/>
              <w:t>Common stock, par value $0.01 per share</w:t>
            </w:r>
          </w:p>
        </w:tc>
        <w:tc>
          <w:tcPr>
            <w:tcW w:w="75" w:type="dxa"/>
            <w:tcBorders>
              <w:bottom w:val="single" w:sz="12"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005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0055" w:type="dxa"/>
            <w:tcBorders/>
            <w:tcMar>
              <w:bottom w:w="0" w:type="dxa"/>
            </w:tcMar>
            <w:vAlign w:val="center"/>
          </w:tcPr>
          <w:p>
            <w:pPr>
              <w:pStyle w:val="TableContents"/>
              <w:bidi w:val="0"/>
              <w:spacing w:before="0" w:after="0"/>
              <w:jc w:val="center"/>
              <w:rPr>
                <w:sz w:val="24"/>
              </w:rPr>
            </w:pPr>
            <w:r>
              <w:rPr>
                <w:sz w:val="24"/>
              </w:rPr>
              <w:t>(Title of each class of securities covered by this Form)</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005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12" w:space="0" w:color="000000"/>
            </w:tcBorders>
            <w:vAlign w:val="center"/>
          </w:tcPr>
          <w:p>
            <w:pPr>
              <w:pStyle w:val="TableContents"/>
              <w:bidi w:val="0"/>
              <w:spacing w:before="0" w:after="283"/>
              <w:jc w:val="left"/>
              <w:rPr/>
            </w:pPr>
            <w:r>
              <w:rPr/>
              <w:t> </w:t>
            </w:r>
          </w:p>
        </w:tc>
        <w:tc>
          <w:tcPr>
            <w:tcW w:w="10055" w:type="dxa"/>
            <w:tcBorders>
              <w:bottom w:val="single" w:sz="12" w:space="0" w:color="000000"/>
            </w:tcBorders>
            <w:vAlign w:val="center"/>
          </w:tcPr>
          <w:p>
            <w:pPr>
              <w:pStyle w:val="TableContents"/>
              <w:bidi w:val="0"/>
              <w:spacing w:before="0" w:after="0"/>
              <w:jc w:val="center"/>
              <w:rPr/>
            </w:pPr>
            <w:r>
              <w:rPr/>
              <w:t>None.</w:t>
            </w:r>
          </w:p>
        </w:tc>
        <w:tc>
          <w:tcPr>
            <w:tcW w:w="75" w:type="dxa"/>
            <w:tcBorders>
              <w:bottom w:val="single" w:sz="12"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0055" w:type="dxa"/>
            <w:tcBorders/>
            <w:tcMar>
              <w:bottom w:w="0" w:type="dxa"/>
            </w:tcMar>
            <w:vAlign w:val="center"/>
          </w:tcPr>
          <w:p>
            <w:pPr>
              <w:pStyle w:val="TableContents"/>
              <w:bidi w:val="0"/>
              <w:spacing w:before="0" w:after="0"/>
              <w:jc w:val="center"/>
              <w:rPr>
                <w:sz w:val="24"/>
              </w:rPr>
            </w:pPr>
            <w:r>
              <w:rPr>
                <w:sz w:val="24"/>
              </w:rPr>
              <w:t>(Titles of all other classes of securities for which a duty to file reports under section 13(a) or 15(d) remains)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41" w:after="283"/>
        <w:ind w:left="359" w:right="1079" w:firstLine="360"/>
        <w:jc w:val="left"/>
        <w:rPr>
          <w:rFonts w:ascii="Times New Roman;Times;serif" w:hAnsi="Times New Roman;Times;serif"/>
          <w:color w:val="000000"/>
          <w:sz w:val="24"/>
        </w:rPr>
      </w:pPr>
      <w:r>
        <w:rPr>
          <w:rFonts w:ascii="Times New Roman;Times;serif" w:hAnsi="Times New Roman;Times;serif"/>
          <w:color w:val="000000"/>
          <w:sz w:val="24"/>
        </w:rPr>
        <w:t>Please place an X in the box(es) to designate the appropriate rule provision(s) relied upon to terminate or suspend the duty to file reports:</w:t>
      </w:r>
    </w:p>
    <w:p>
      <w:pPr>
        <w:pStyle w:val="Normal"/>
        <w:bidi w:val="0"/>
        <w:spacing w:before="0" w:after="0"/>
        <w:ind w:left="359" w:right="1079" w:firstLine="360"/>
        <w:jc w:val="left"/>
        <w:rPr>
          <w:sz w:val="4"/>
          <w:szCs w:val="4"/>
        </w:rPr>
      </w:pPr>
      <w:r>
        <w:rPr>
          <w:sz w:val="4"/>
          <w:szCs w:val="4"/>
        </w:rPr>
      </w:r>
      <w:bookmarkStart w:id="6" w:name="zdca9bc5b89d5478e9889b6b093e98638"/>
      <w:bookmarkStart w:id="7" w:name="zdca9bc5b89d5478e9889b6b093e98638"/>
      <w:bookmarkEnd w:id="7"/>
    </w:p>
    <w:tbl>
      <w:tblPr>
        <w:tblW w:w="2275" w:type="dxa"/>
        <w:jc w:val="left"/>
        <w:tblInd w:w="359" w:type="dxa"/>
        <w:tblLayout w:type="fixed"/>
        <w:tblCellMar>
          <w:top w:w="0" w:type="dxa"/>
          <w:left w:w="0" w:type="dxa"/>
          <w:bottom w:w="0" w:type="dxa"/>
          <w:right w:w="0" w:type="dxa"/>
        </w:tblCellMar>
      </w:tblPr>
      <w:tblGrid>
        <w:gridCol w:w="75"/>
        <w:gridCol w:w="1895"/>
        <w:gridCol w:w="230"/>
        <w:gridCol w:w="75"/>
      </w:tblGrid>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50" w:right="0" w:hanging="0"/>
              <w:jc w:val="left"/>
              <w:rPr>
                <w:sz w:val="24"/>
              </w:rPr>
            </w:pPr>
            <w:r>
              <w:rPr>
                <w:sz w:val="24"/>
              </w:rPr>
              <w:t>Rule 12g-4(a)(1)</w:t>
            </w:r>
          </w:p>
        </w:tc>
        <w:tc>
          <w:tcPr>
            <w:tcW w:w="230" w:type="dxa"/>
            <w:tcBorders/>
            <w:vAlign w:val="center"/>
          </w:tcPr>
          <w:p>
            <w:pPr>
              <w:pStyle w:val="TableContents"/>
              <w:bidi w:val="0"/>
              <w:spacing w:before="0" w:after="0"/>
              <w:ind w:left="67" w:right="0" w:hanging="0"/>
              <w:jc w:val="center"/>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50" w:right="0" w:hanging="0"/>
              <w:jc w:val="left"/>
              <w:rPr>
                <w:sz w:val="24"/>
              </w:rPr>
            </w:pPr>
            <w:r>
              <w:rPr>
                <w:sz w:val="24"/>
              </w:rPr>
              <w:t>Rule 12g-4(a)(2)</w:t>
            </w:r>
          </w:p>
        </w:tc>
        <w:tc>
          <w:tcPr>
            <w:tcW w:w="230" w:type="dxa"/>
            <w:tcBorders/>
            <w:vAlign w:val="center"/>
          </w:tcPr>
          <w:p>
            <w:pPr>
              <w:pStyle w:val="TableContents"/>
              <w:bidi w:val="0"/>
              <w:spacing w:before="0" w:after="0"/>
              <w:ind w:left="67" w:right="0" w:hanging="0"/>
              <w:jc w:val="center"/>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50" w:right="0" w:hanging="0"/>
              <w:jc w:val="left"/>
              <w:rPr>
                <w:sz w:val="24"/>
              </w:rPr>
            </w:pPr>
            <w:r>
              <w:rPr>
                <w:sz w:val="24"/>
              </w:rPr>
              <w:t>Rule 12h-3(b)(1)(i)</w:t>
            </w:r>
          </w:p>
        </w:tc>
        <w:tc>
          <w:tcPr>
            <w:tcW w:w="230" w:type="dxa"/>
            <w:tcBorders/>
            <w:vAlign w:val="center"/>
          </w:tcPr>
          <w:p>
            <w:pPr>
              <w:pStyle w:val="TableContents"/>
              <w:bidi w:val="0"/>
              <w:spacing w:before="0" w:after="0"/>
              <w:ind w:left="67" w:right="0" w:hanging="0"/>
              <w:jc w:val="center"/>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50" w:right="0" w:hanging="0"/>
              <w:jc w:val="left"/>
              <w:rPr>
                <w:sz w:val="24"/>
              </w:rPr>
            </w:pPr>
            <w:r>
              <w:rPr>
                <w:sz w:val="24"/>
              </w:rPr>
              <w:t>Rule 12h-3(b)(1)(ii)</w:t>
            </w:r>
          </w:p>
        </w:tc>
        <w:tc>
          <w:tcPr>
            <w:tcW w:w="230" w:type="dxa"/>
            <w:tcBorders/>
            <w:vAlign w:val="center"/>
          </w:tcPr>
          <w:p>
            <w:pPr>
              <w:pStyle w:val="TableContents"/>
              <w:bidi w:val="0"/>
              <w:spacing w:before="0" w:after="0"/>
              <w:ind w:left="67" w:right="0" w:hanging="0"/>
              <w:jc w:val="center"/>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50" w:right="0" w:hanging="0"/>
              <w:jc w:val="left"/>
              <w:rPr>
                <w:sz w:val="24"/>
              </w:rPr>
            </w:pPr>
            <w:r>
              <w:rPr>
                <w:sz w:val="24"/>
              </w:rPr>
              <w:t>Rule 15d-6</w:t>
            </w:r>
          </w:p>
        </w:tc>
        <w:tc>
          <w:tcPr>
            <w:tcW w:w="230" w:type="dxa"/>
            <w:tcBorders/>
            <w:vAlign w:val="center"/>
          </w:tcPr>
          <w:p>
            <w:pPr>
              <w:pStyle w:val="TableContents"/>
              <w:bidi w:val="0"/>
              <w:spacing w:before="0" w:after="0"/>
              <w:ind w:left="67" w:right="0" w:hanging="0"/>
              <w:jc w:val="center"/>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50" w:right="0" w:hanging="0"/>
              <w:jc w:val="left"/>
              <w:rPr>
                <w:sz w:val="24"/>
              </w:rPr>
            </w:pPr>
            <w:r>
              <w:rPr>
                <w:sz w:val="24"/>
              </w:rPr>
              <w:t>Rule 15d-22(b)</w:t>
            </w:r>
          </w:p>
        </w:tc>
        <w:tc>
          <w:tcPr>
            <w:tcW w:w="230" w:type="dxa"/>
            <w:tcBorders/>
            <w:vAlign w:val="center"/>
          </w:tcPr>
          <w:p>
            <w:pPr>
              <w:pStyle w:val="TableContents"/>
              <w:bidi w:val="0"/>
              <w:spacing w:before="0" w:after="0"/>
              <w:ind w:left="67" w:right="0" w:hanging="0"/>
              <w:jc w:val="center"/>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37" w:after="283"/>
        <w:ind w:left="359" w:right="1079" w:firstLine="360"/>
        <w:jc w:val="left"/>
        <w:rPr/>
      </w:pPr>
      <w:r>
        <w:rPr/>
      </w:r>
    </w:p>
    <w:p>
      <w:pPr>
        <w:pStyle w:val="TextBody"/>
        <w:bidi w:val="0"/>
        <w:spacing w:before="27" w:after="283"/>
        <w:ind w:left="719" w:right="1079" w:hanging="0"/>
        <w:jc w:val="left"/>
        <w:rPr>
          <w:rFonts w:ascii="Times New Roman;Times;serif" w:hAnsi="Times New Roman;Times;serif"/>
          <w:color w:val="000000"/>
          <w:sz w:val="24"/>
        </w:rPr>
      </w:pPr>
      <w:r>
        <w:rPr>
          <w:rFonts w:ascii="Times New Roman;Times;serif" w:hAnsi="Times New Roman;Times;serif"/>
          <w:color w:val="000000"/>
          <w:sz w:val="24"/>
        </w:rPr>
        <w:t>Approximate number of holders of record as of the certification or notice date:</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Common stock, par value $0.01 per share: One (1) holder</w:t>
      </w:r>
    </w:p>
    <w:p>
      <w:pPr>
        <w:pStyle w:val="TextBody"/>
        <w:bidi w:val="0"/>
        <w:spacing w:before="0" w:after="0"/>
        <w:jc w:val="left"/>
        <w:rPr/>
      </w:pPr>
      <w:r>
        <w:rPr/>
      </w:r>
    </w:p>
    <w:p>
      <w:pPr>
        <w:pStyle w:val="TextBody"/>
        <w:bidi w:val="0"/>
        <w:spacing w:before="0" w:after="0"/>
        <w:ind w:left="0" w:right="1080" w:firstLine="720"/>
        <w:jc w:val="left"/>
        <w:rPr>
          <w:rFonts w:ascii="Times New Roman;Times;serif" w:hAnsi="Times New Roman;Times;serif"/>
          <w:color w:val="000000"/>
          <w:sz w:val="24"/>
        </w:rPr>
      </w:pPr>
      <w:r>
        <w:rPr>
          <w:rFonts w:ascii="Times New Roman;Times;serif" w:hAnsi="Times New Roman;Times;serif"/>
          <w:color w:val="000000"/>
          <w:sz w:val="24"/>
        </w:rPr>
        <w:t>Pursuant to the requirements of the Securities Exchange Act of 1934, The ODP Corporation has caused this certification/notice to be signed on its behalf by the undersigned duly authorized person.</w:t>
      </w:r>
    </w:p>
    <w:p>
      <w:pPr>
        <w:pStyle w:val="TextBody"/>
        <w:bidi w:val="0"/>
        <w:spacing w:before="0" w:after="0"/>
        <w:ind w:left="0" w:right="1080" w:firstLine="720"/>
        <w:jc w:val="left"/>
        <w:rPr>
          <w:rFonts w:ascii="Times New Roman;Times;serif" w:hAnsi="Times New Roman;Times;serif"/>
          <w:sz w:val="24"/>
        </w:rPr>
      </w:pPr>
      <w:r>
        <w:rPr>
          <w:rFonts w:ascii="Times New Roman;Times;serif" w:hAnsi="Times New Roman;Times;serif"/>
          <w:sz w:val="24"/>
        </w:rPr>
      </w:r>
    </w:p>
    <w:p>
      <w:pPr>
        <w:pStyle w:val="Normal"/>
        <w:bidi w:val="0"/>
        <w:spacing w:before="0" w:after="0"/>
        <w:ind w:left="0" w:right="1080" w:firstLine="720"/>
        <w:jc w:val="left"/>
        <w:rPr>
          <w:sz w:val="4"/>
          <w:szCs w:val="4"/>
        </w:rPr>
      </w:pPr>
      <w:r>
        <w:rPr>
          <w:sz w:val="4"/>
          <w:szCs w:val="4"/>
        </w:rPr>
      </w:r>
      <w:bookmarkStart w:id="8" w:name="zff15b7f16f584bdf805f2320a6fdaac1"/>
      <w:bookmarkStart w:id="9" w:name="zff15b7f16f584bdf805f2320a6fdaac1"/>
      <w:bookmarkEnd w:id="9"/>
    </w:p>
    <w:tbl>
      <w:tblPr>
        <w:tblW w:w="8005" w:type="dxa"/>
        <w:jc w:val="left"/>
        <w:tblInd w:w="0" w:type="dxa"/>
        <w:tblLayout w:type="fixed"/>
        <w:tblCellMar>
          <w:top w:w="0" w:type="dxa"/>
          <w:left w:w="0" w:type="dxa"/>
          <w:bottom w:w="0" w:type="dxa"/>
          <w:right w:w="0" w:type="dxa"/>
        </w:tblCellMar>
      </w:tblPr>
      <w:tblGrid>
        <w:gridCol w:w="75"/>
        <w:gridCol w:w="2465"/>
        <w:gridCol w:w="5390"/>
        <w:gridCol w:w="75"/>
      </w:tblGrid>
      <w:tr>
        <w:trPr/>
        <w:tc>
          <w:tcPr>
            <w:tcW w:w="7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b/>
                <w:sz w:val="24"/>
              </w:rPr>
            </w:pPr>
            <w:r>
              <w:rPr>
                <w:b/>
                <w:sz w:val="24"/>
              </w:rPr>
              <w:t>THE ODP CORPORATION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jc w:val="left"/>
              <w:rPr>
                <w:sz w:val="24"/>
              </w:rPr>
            </w:pPr>
            <w:r>
              <w:rPr>
                <w:sz w:val="24"/>
              </w:rPr>
              <w:t xml:space="preserve">Date: </w:t>
            </w:r>
            <w:r>
              <w:rPr>
                <w:sz w:val="24"/>
                <w:u w:val="single"/>
              </w:rPr>
              <w:t>December 22, 2025</w:t>
            </w:r>
          </w:p>
        </w:tc>
        <w:tc>
          <w:tcPr>
            <w:tcW w:w="5390" w:type="dxa"/>
            <w:tcBorders/>
            <w:vAlign w:val="center"/>
          </w:tcPr>
          <w:p>
            <w:pPr>
              <w:pStyle w:val="TableContents"/>
              <w:bidi w:val="0"/>
              <w:spacing w:before="0" w:after="0"/>
              <w:jc w:val="left"/>
              <w:rPr>
                <w:sz w:val="24"/>
              </w:rPr>
            </w:pPr>
            <w:r>
              <w:rPr>
                <w:sz w:val="24"/>
              </w:rPr>
              <w:t xml:space="preserve">By: </w:t>
            </w:r>
            <w:r>
              <w:rPr>
                <w:sz w:val="24"/>
                <w:u w:val="single"/>
              </w:rPr>
              <w:t xml:space="preserve">  /s/ Craig Gunckel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sz w:val="24"/>
              </w:rPr>
            </w:pPr>
            <w:r>
              <w:rPr>
                <w:sz w:val="24"/>
              </w:rPr>
              <w:t>Name: Craig Gunckel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sz w:val="24"/>
              </w:rPr>
            </w:pPr>
            <w:r>
              <w:rPr>
                <w:sz w:val="24"/>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359" w:right="0" w:firstLine="4140"/>
        <w:jc w:val="left"/>
        <w:rPr>
          <w:rFonts w:ascii="Times New Roman;Times;serif" w:hAnsi="Times New Roman;Times;serif"/>
          <w:color w:val="000000"/>
          <w:sz w:val="20"/>
        </w:rPr>
      </w:pPr>
      <w:r>
        <w:rPr>
          <w:rFonts w:ascii="Times New Roman;Times;serif" w:hAnsi="Times New Roman;Times;serif"/>
          <w:color w:val="000000"/>
          <w:sz w:val="20"/>
        </w:rPr>
        <w:t xml:space="preserve">* On September 22, 2025, The ODP Corporation, a Delaware corporation (“ODP”), entered into an Agreement and Plan of Merger (the “Merger Agreement”), with ACR Ocean Resources LLC, a Delaware limited liability company (“Ocean”), and Vail Holdings 1, Inc., a Delaware corporation and a direct wholly owned subsidiary of Ocean (“Merger Sub”).  On December 10, 2025, pursuant to the terms and conditions of the Merger Agreement, Merger Sub merged with and into ODP (the “Merger”), with ODP surviving the Merger as a wholly owned subsidiary of Ocean. </w:t>
      </w:r>
    </w:p>
    <w:p>
      <w:pPr>
        <w:pStyle w:val="TextBody"/>
        <w:bidi w:val="0"/>
        <w:spacing w:before="162" w:after="283"/>
        <w:jc w:val="left"/>
        <w:rPr/>
      </w:pPr>
      <w:r>
        <w:rPr/>
      </w:r>
    </w:p>
    <w:p>
      <w:pPr>
        <w:pStyle w:val="Normal"/>
        <w:bidi w:val="0"/>
        <w:spacing w:before="0" w:after="0"/>
        <w:jc w:val="left"/>
        <w:rPr>
          <w:sz w:val="4"/>
          <w:szCs w:val="4"/>
        </w:rPr>
      </w:pPr>
      <w:r>
        <w:rPr>
          <w:sz w:val="4"/>
          <w:szCs w:val="4"/>
        </w:rPr>
      </w:r>
      <w:bookmarkStart w:id="10" w:name="zd359dbb7a50d44bd9c09827ba6b3b2af"/>
      <w:bookmarkStart w:id="11" w:name="zd359dbb7a50d44bd9c09827ba6b3b2af"/>
      <w:bookmarkEnd w:id="11"/>
    </w:p>
    <w:tbl>
      <w:tblPr>
        <w:tblW w:w="10205" w:type="dxa"/>
        <w:jc w:val="left"/>
        <w:tblInd w:w="0" w:type="dxa"/>
        <w:tblLayout w:type="fixed"/>
        <w:tblCellMar>
          <w:top w:w="0" w:type="dxa"/>
          <w:left w:w="0" w:type="dxa"/>
          <w:bottom w:w="0" w:type="dxa"/>
          <w:right w:w="0" w:type="dxa"/>
        </w:tblCellMar>
      </w:tblPr>
      <w:tblGrid>
        <w:gridCol w:w="38"/>
        <w:gridCol w:w="1120"/>
        <w:gridCol w:w="9047"/>
      </w:tblGrid>
      <w:tr>
        <w:trPr/>
        <w:tc>
          <w:tcPr>
            <w:tcW w:w="38" w:type="dxa"/>
            <w:tcBorders/>
            <w:vAlign w:val="center"/>
          </w:tcPr>
          <w:p>
            <w:pPr>
              <w:pStyle w:val="TableContents"/>
              <w:bidi w:val="0"/>
              <w:spacing w:before="0" w:after="283"/>
              <w:jc w:val="left"/>
              <w:rPr/>
            </w:pPr>
            <w:r>
              <w:rPr/>
            </w:r>
          </w:p>
        </w:tc>
        <w:tc>
          <w:tcPr>
            <w:tcW w:w="1120" w:type="dxa"/>
            <w:tcBorders/>
            <w:vAlign w:val="center"/>
          </w:tcPr>
          <w:p>
            <w:pPr>
              <w:pStyle w:val="TableContents"/>
              <w:bidi w:val="0"/>
              <w:spacing w:before="0" w:after="283"/>
              <w:jc w:val="left"/>
              <w:rPr/>
            </w:pPr>
            <w:r>
              <w:rPr/>
              <w:t>SEC 2069 (08-11)</w:t>
            </w:r>
          </w:p>
        </w:tc>
        <w:tc>
          <w:tcPr>
            <w:tcW w:w="9047" w:type="dxa"/>
            <w:tcBorders/>
            <w:vAlign w:val="center"/>
          </w:tcPr>
          <w:p>
            <w:pPr>
              <w:pStyle w:val="TableContents"/>
              <w:bidi w:val="0"/>
              <w:spacing w:before="0" w:after="0"/>
              <w:jc w:val="left"/>
              <w:rPr/>
            </w:pPr>
            <w:r>
              <w:rPr/>
              <w:t>Potential persons who are to respond to the collection of information contained in this Form are not required to respond unless the Form displays a currently valid OMB control number.</w:t>
            </w:r>
          </w:p>
        </w:tc>
      </w:tr>
    </w:tbl>
    <w:p>
      <w:pPr>
        <w:pStyle w:val="TextBody"/>
        <w:bidi w:val="0"/>
        <w:spacing w:before="151"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Board of Governors of the Federal Reserve System OMB Number 7100-0091 Approval expires February 28, 2026</w:t>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375</Words>
  <Characters>1989</Characters>
  <CharactersWithSpaces>2443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