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MALONEY ZOE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80"/>
        <w:spacing w:after="0" w:line="320" w:lineRule="auto"/>
        <w:rPr>
          <w:sz w:val="20"/>
          <w:szCs w:val="20"/>
          <w:color w:val="auto"/>
        </w:rPr>
      </w:pPr>
      <w:r>
        <w:rPr>
          <w:rFonts w:ascii="Times New Roman" w:cs="Times New Roman" w:eastAsia="Times New Roman" w:hAnsi="Times New Roman"/>
          <w:sz w:val="17"/>
          <w:szCs w:val="17"/>
          <w:color w:val="0000FF"/>
        </w:rPr>
        <w:t>6600 NORTH MILITARY TRAIL LEGAL DEPARTMENT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ODP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ODP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EVP, Chief HR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33496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35,253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28</w:t>
            </w:r>
            <w:r>
              <w:rPr>
                <w:rFonts w:ascii="Times New Roman" w:cs="Times New Roman" w:eastAsia="Times New Roman" w:hAnsi="Times New Roman"/>
                <w:sz w:val="11"/>
                <w:szCs w:val="11"/>
                <w:color w:val="008000"/>
                <w:w w:val="87"/>
              </w:rPr>
              <w:t>(2)</w:t>
            </w:r>
          </w:p>
        </w:tc>
        <w:tc>
          <w:tcPr>
            <w:tcW w:w="1200" w:type="dxa"/>
            <w:vAlign w:val="bottom"/>
            <w:tcBorders>
              <w:bottom w:val="single" w:sz="8" w:color="2C2C2C"/>
            </w:tcBorders>
            <w:gridSpan w:val="2"/>
          </w:tcPr>
          <w:p>
            <w:pPr>
              <w:jc w:val="center"/>
              <w:ind w:right="237"/>
              <w:spacing w:after="0"/>
              <w:rPr>
                <w:sz w:val="20"/>
                <w:szCs w:val="20"/>
                <w:color w:val="auto"/>
              </w:rPr>
            </w:pPr>
            <w:r>
              <w:rPr>
                <w:rFonts w:ascii="Times New Roman" w:cs="Times New Roman" w:eastAsia="Times New Roman" w:hAnsi="Times New Roman"/>
                <w:sz w:val="17"/>
                <w:szCs w:val="17"/>
                <w:color w:val="0000FF"/>
              </w:rPr>
              <w:t>34,925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34,925</w:t>
            </w:r>
            <w:r>
              <w:rPr>
                <w:rFonts w:ascii="Times New Roman" w:cs="Times New Roman" w:eastAsia="Times New Roman" w:hAnsi="Times New Roman"/>
                <w:sz w:val="22"/>
                <w:szCs w:val="22"/>
                <w:color w:val="008000"/>
                <w:vertAlign w:val="superscript"/>
              </w:rPr>
              <w:t>(3)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28</w:t>
            </w:r>
            <w:r>
              <w:rPr>
                <w:rFonts w:ascii="Times New Roman" w:cs="Times New Roman" w:eastAsia="Times New Roman" w:hAnsi="Times New Roman"/>
                <w:sz w:val="11"/>
                <w:szCs w:val="11"/>
                <w:color w:val="008000"/>
                <w:w w:val="87"/>
              </w:rPr>
              <w:t>(3)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517"/>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10, 2025, pursuant to that certain Agreement and Plan of Merger, dated as of September 22, 2025 (the "Merger Agreement"), by and among ODP Corporation (the "Issuer"), ACR Ocean Resources LLC ("Parent") and Vail Holdings 1, Inc., a wholly owned subsidiary of Parent ("Merger Sub"), Merger Sub merged with and into the Issuer (the "Merger"), with the Issuer surviving the Merger as a wholly owned subsidiary of Parent.</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share of Issuer common stock held by the Reporting Person immediately prior to the closing of the Merger (the "Effective Time") was converted into the right to receive $28.00 in cash, without interest, net of all applicable withholding taxes (the "Merger Consideration").</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unvested restricted stock units ("RSUs") held by the Reporting Person immediately prior to the Effective Time. Pursuant to the Merger Agreement, all unvested RSUs were cancelled and converted into the right to receive an amount of cash equal to the Merger Consideration multiplied by (a) (i) the number of shares of Issuer common stock subject to such RSU immediately prior to the Effective Time, by (ii) the Merger Consideration, plus (b) any accrued and unpaid dividends or dividend equivalent rights corresponding to such RSUs, net of all applicable withholding taxes. The cash payment is subject to the same terms and conditions as applied to such RSUs immediately prior to the Effective Time (except that such RSUs will settle in cash in lieu of common stock).</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Sarah E. Hlavinka,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3284" TargetMode="External"/><Relationship Id="rId14" Type="http://schemas.openxmlformats.org/officeDocument/2006/relationships/hyperlink" Target="http://www.sec.gov/cgi-bin/browse-edgar?action=getcompany&amp;CIK=0000800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2025-12-10T15:31:51Z</dcterms:created>
  <dcterms:modified xsi:type="dcterms:W3CDTF">2025-12-10T15:31:51Z</dcterms:modified>
</cp:coreProperties>
</file>