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80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8028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Samant Shashank</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ODP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ODP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12/10/2025</w:t>
            </w:r>
          </w:p>
        </w:tc>
        <w:tc>
          <w:tcPr>
            <w:tcW w:w="28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6600 NORTH MILITARY TRAIL</w:t>
            </w:r>
          </w:p>
        </w:tc>
        <w:tc>
          <w:tcPr>
            <w:tcW w:w="11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LEGAL DEPARTMENT</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33496</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12/10/2025</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272</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line="310" w:lineRule="exact"/>
              <w:rPr>
                <w:sz w:val="20"/>
                <w:szCs w:val="20"/>
                <w:color w:val="auto"/>
              </w:rPr>
            </w:pPr>
            <w:r>
              <w:rPr>
                <w:rFonts w:ascii="Arial" w:cs="Arial" w:eastAsia="Arial" w:hAnsi="Arial"/>
                <w:sz w:val="33"/>
                <w:szCs w:val="33"/>
                <w:color w:val="000000"/>
                <w:w w:val="80"/>
                <w:vertAlign w:val="subscript"/>
              </w:rPr>
              <w:t>$</w:t>
            </w:r>
            <w:r>
              <w:rPr>
                <w:rFonts w:ascii="Times New Roman" w:cs="Times New Roman" w:eastAsia="Times New Roman" w:hAnsi="Times New Roman"/>
                <w:sz w:val="33"/>
                <w:szCs w:val="33"/>
                <w:color w:val="0000FF"/>
                <w:w w:val="80"/>
                <w:vertAlign w:val="subscript"/>
              </w:rPr>
              <w:t>28</w:t>
            </w:r>
            <w:r>
              <w:rPr>
                <w:rFonts w:ascii="Times New Roman" w:cs="Times New Roman" w:eastAsia="Times New Roman" w:hAnsi="Times New Roman"/>
                <w:sz w:val="11"/>
                <w:szCs w:val="11"/>
                <w:color w:val="008000"/>
                <w:w w:val="80"/>
              </w:rPr>
              <w:t>(2)</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12/10/2025</w:t>
            </w:r>
          </w:p>
        </w:tc>
        <w:tc>
          <w:tcPr>
            <w:tcW w:w="1140" w:type="dxa"/>
            <w:vAlign w:val="bottom"/>
          </w:tcPr>
          <w:p>
            <w:pPr>
              <w:spacing w:after="0"/>
              <w:rPr>
                <w:sz w:val="21"/>
                <w:szCs w:val="21"/>
                <w:color w:val="auto"/>
              </w:rPr>
            </w:pPr>
          </w:p>
        </w:tc>
        <w:tc>
          <w:tcPr>
            <w:tcW w:w="720" w:type="dxa"/>
            <w:vAlign w:val="bottom"/>
          </w:tcPr>
          <w:p>
            <w:pPr>
              <w:ind w:left="100"/>
              <w:spacing w:after="0" w:line="245"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33,432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33,432</w:t>
            </w:r>
          </w:p>
        </w:tc>
        <w:tc>
          <w:tcPr>
            <w:tcW w:w="60" w:type="dxa"/>
            <w:vAlign w:val="bottom"/>
          </w:tcPr>
          <w:p>
            <w:pPr>
              <w:spacing w:after="0"/>
              <w:rPr>
                <w:sz w:val="21"/>
                <w:szCs w:val="21"/>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2025, pursuant to that certain Agreement and Plan of Merger, dated as of September 22, 2025 (the "Merger Agreement"), by and among ODP Corporation (the "Issuer"), ACR Ocean Resources LLC ("Parent") and Vail Holdings 1, Inc., a wholly owned subsidiary of Parent ("Merger Sub"), Merger Sub merged with and into the Issuer (the "Merger"), with the Issuer surviving the Merger as a wholly owned subsidiary of Parent.</w:t>
      </w:r>
    </w:p>
    <w:p>
      <w:pPr>
        <w:spacing w:after="0" w:line="25"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share of Issuer common stock held by the Reporting Person immediately prior to the closing of the Merger (the "Effective Time") was converted into the right to receive $28.00 in cash, without interest, net of all applicable withholding taxes.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deferred RSUs held by the Reporting Person immediately prior to the Effective Time were converted into the right to receive an amount of cash equal to the sum of (a) (i) the number of shares of Issuer common stock subject to such RSUs immediately prior to the Effective Time, multiplied by (ii) $28.00 per share, plus (b) any accrued and unpaid dividends or dividend equivalent rights corresponding to such RSUs, without interest, net of all applicable withholding taxes.</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Sarah E. Hlavinka,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12/10/2025</w:t>
            </w:r>
          </w:p>
        </w:tc>
        <w:tc>
          <w:tcPr>
            <w:tcW w:w="0" w:type="dxa"/>
            <w:vAlign w:val="bottom"/>
          </w:tcPr>
          <w:p>
            <w:pPr>
              <w:spacing w:after="0"/>
              <w:rPr>
                <w:sz w:val="1"/>
                <w:szCs w:val="1"/>
                <w:color w:val="auto"/>
              </w:rPr>
            </w:pPr>
          </w:p>
        </w:tc>
      </w:tr>
      <w:tr>
        <w:trPr>
          <w:trHeight w:val="88"/>
        </w:trPr>
        <w:tc>
          <w:tcPr>
            <w:tcW w:w="14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6184" TargetMode="External"/><Relationship Id="rId14"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2025-12-10T17:50:38Z</dcterms:created>
  <dcterms:modified xsi:type="dcterms:W3CDTF">2025-12-10T17:50:38Z</dcterms:modified>
</cp:coreProperties>
</file>