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 (d) of the Securities Exchange Act of 1934</w:t>
      </w:r>
    </w:p>
    <w:p>
      <w:pPr>
        <w:spacing w:after="0" w:line="18" w:lineRule="exact"/>
        <w:rPr>
          <w:rFonts w:ascii="MS PGothic" w:cs="MS PGothic" w:eastAsia="MS PGothic" w:hAnsi="MS PGothic"/>
          <w:sz w:val="18"/>
          <w:szCs w:val="18"/>
          <w:color w:val="auto"/>
        </w:rPr>
      </w:pPr>
    </w:p>
    <w:p>
      <w:pPr>
        <w:ind w:left="4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30, 2023</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16" w:lineRule="exact"/>
        <w:rPr>
          <w:sz w:val="24"/>
          <w:szCs w:val="24"/>
          <w:color w:val="auto"/>
        </w:rPr>
      </w:pPr>
    </w:p>
    <w:p>
      <w:pPr>
        <w:ind w:left="480"/>
        <w:spacing w:after="0"/>
        <w:tabs>
          <w:tab w:leader="none" w:pos="4120" w:val="left"/>
        </w:tabs>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7"/>
          <w:szCs w:val="17"/>
          <w:b w:val="1"/>
          <w:bCs w:val="1"/>
          <w:color w:val="auto"/>
        </w:rPr>
        <w:t>the</w:t>
      </w:r>
      <w:r>
        <w:rPr>
          <w:rFonts w:ascii="Times New Roman" w:cs="Times New Roman" w:eastAsia="Times New Roman" w:hAnsi="Times New Roman"/>
          <w:sz w:val="16"/>
          <w:szCs w:val="16"/>
          <w:b w:val="1"/>
          <w:bCs w:val="1"/>
          <w:color w:val="auto"/>
        </w:rPr>
        <w:t xml:space="preserv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1673225</wp:posOffset>
            </wp:positionH>
            <wp:positionV relativeFrom="paragraph">
              <wp:posOffset>-13335</wp:posOffset>
            </wp:positionV>
            <wp:extent cx="924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1-10948</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The ODP Corporation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2941955</wp:posOffset>
            </wp:positionH>
            <wp:positionV relativeFrom="paragraph">
              <wp:posOffset>94615</wp:posOffset>
            </wp:positionV>
            <wp:extent cx="1233170" cy="736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3170" cy="736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0" w:type="dxa"/>
            <w:vAlign w:val="bottom"/>
          </w:tcPr>
          <w:p>
            <w:pPr>
              <w:jc w:val="right"/>
              <w:ind w:right="2348"/>
              <w:spacing w:after="0"/>
              <w:rPr>
                <w:sz w:val="20"/>
                <w:szCs w:val="20"/>
                <w:color w:val="auto"/>
              </w:rPr>
            </w:pPr>
            <w:r>
              <w:rPr>
                <w:rFonts w:ascii="Times New Roman" w:cs="Times New Roman" w:eastAsia="Times New Roman" w:hAnsi="Times New Roman"/>
                <w:sz w:val="14"/>
                <w:szCs w:val="14"/>
                <w:b w:val="1"/>
                <w:bCs w:val="1"/>
                <w:color w:val="auto"/>
              </w:rPr>
              <w:t>85-1457062</w:t>
            </w:r>
          </w:p>
        </w:tc>
        <w:tc>
          <w:tcPr>
            <w:tcW w:w="0" w:type="dxa"/>
            <w:vAlign w:val="bottom"/>
          </w:tcPr>
          <w:p>
            <w:pPr>
              <w:spacing w:after="0"/>
              <w:rPr>
                <w:sz w:val="1"/>
                <w:szCs w:val="1"/>
                <w:color w:val="auto"/>
              </w:rPr>
            </w:pPr>
          </w:p>
        </w:tc>
      </w:tr>
      <w:tr>
        <w:trPr>
          <w:trHeight w:val="148"/>
        </w:trPr>
        <w:tc>
          <w:tcPr>
            <w:tcW w:w="3940" w:type="dxa"/>
            <w:vAlign w:val="bottom"/>
          </w:tcPr>
          <w:p>
            <w:pPr>
              <w:jc w:val="center"/>
              <w:ind w:left="15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6"/>
        </w:trPr>
        <w:tc>
          <w:tcPr>
            <w:tcW w:w="3940" w:type="dxa"/>
            <w:vAlign w:val="bottom"/>
          </w:tcPr>
          <w:p>
            <w:pPr>
              <w:jc w:val="center"/>
              <w:ind w:left="15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40"/>
        </w:trPr>
        <w:tc>
          <w:tcPr>
            <w:tcW w:w="7440" w:type="dxa"/>
            <w:vAlign w:val="bottom"/>
            <w:gridSpan w:val="6"/>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6600 North Military Trail, Boca Raton, Florida</w:t>
            </w:r>
          </w:p>
        </w:tc>
        <w:tc>
          <w:tcPr>
            <w:tcW w:w="3800" w:type="dxa"/>
            <w:vAlign w:val="bottom"/>
          </w:tcPr>
          <w:p>
            <w:pPr>
              <w:jc w:val="right"/>
              <w:ind w:right="2508"/>
              <w:spacing w:after="0"/>
              <w:rPr>
                <w:sz w:val="20"/>
                <w:szCs w:val="20"/>
                <w:color w:val="auto"/>
              </w:rPr>
            </w:pPr>
            <w:r>
              <w:rPr>
                <w:rFonts w:ascii="Times New Roman" w:cs="Times New Roman" w:eastAsia="Times New Roman" w:hAnsi="Times New Roman"/>
                <w:sz w:val="14"/>
                <w:szCs w:val="14"/>
                <w:b w:val="1"/>
                <w:bCs w:val="1"/>
                <w:color w:val="auto"/>
              </w:rPr>
              <w:t>33496</w:t>
            </w:r>
          </w:p>
        </w:tc>
        <w:tc>
          <w:tcPr>
            <w:tcW w:w="0" w:type="dxa"/>
            <w:vAlign w:val="bottom"/>
          </w:tcPr>
          <w:p>
            <w:pPr>
              <w:spacing w:after="0"/>
              <w:rPr>
                <w:sz w:val="1"/>
                <w:szCs w:val="1"/>
                <w:color w:val="auto"/>
              </w:rPr>
            </w:pPr>
          </w:p>
        </w:tc>
      </w:tr>
      <w:tr>
        <w:trPr>
          <w:trHeight w:val="186"/>
        </w:trPr>
        <w:tc>
          <w:tcPr>
            <w:tcW w:w="394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40" w:type="dxa"/>
            <w:vAlign w:val="bottom"/>
            <w:gridSpan w:val="3"/>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(561) 438-4800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3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3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940" w:type="dxa"/>
            <w:vAlign w:val="bottom"/>
            <w:vMerge w:val="restart"/>
          </w:tcPr>
          <w:p>
            <w:pPr>
              <w:jc w:val="center"/>
              <w:ind w:left="648"/>
              <w:spacing w:after="0"/>
              <w:rPr>
                <w:sz w:val="20"/>
                <w:szCs w:val="20"/>
                <w:color w:val="auto"/>
              </w:rPr>
            </w:pPr>
            <w:r>
              <w:rPr>
                <w:rFonts w:ascii="Times New Roman" w:cs="Times New Roman" w:eastAsia="Times New Roman" w:hAnsi="Times New Roman"/>
                <w:sz w:val="14"/>
                <w:szCs w:val="14"/>
                <w:color w:val="auto"/>
              </w:rPr>
              <w:t>Title of Each class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color w:val="auto"/>
                <w:w w:val="99"/>
              </w:rPr>
              <w:t>Trading</w:t>
            </w:r>
          </w:p>
        </w:tc>
        <w:tc>
          <w:tcPr>
            <w:tcW w:w="3800" w:type="dxa"/>
            <w:vAlign w:val="bottom"/>
            <w:vMerge w:val="restart"/>
          </w:tcPr>
          <w:p>
            <w:pPr>
              <w:jc w:val="center"/>
              <w:ind w:right="8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5"/>
        </w:trPr>
        <w:tc>
          <w:tcPr>
            <w:tcW w:w="39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color w:val="auto"/>
              </w:rPr>
              <w:t>Symbol(s)</w:t>
            </w: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40" w:type="dxa"/>
            <w:vAlign w:val="bottom"/>
            <w:tcBorders>
              <w:top w:val="single" w:sz="8" w:color="auto"/>
            </w:tcBorders>
          </w:tcPr>
          <w:p>
            <w:pPr>
              <w:jc w:val="center"/>
              <w:ind w:left="648"/>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ODP</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800" w:type="dxa"/>
            <w:vAlign w:val="bottom"/>
            <w:tcBorders>
              <w:top w:val="single" w:sz="8" w:color="auto"/>
            </w:tcBorders>
          </w:tcPr>
          <w:p>
            <w:pPr>
              <w:jc w:val="center"/>
              <w:ind w:right="808"/>
              <w:spacing w:after="0" w:line="131" w:lineRule="exact"/>
              <w:rPr>
                <w:sz w:val="20"/>
                <w:szCs w:val="20"/>
                <w:color w:val="auto"/>
              </w:rPr>
            </w:pPr>
            <w:r>
              <w:rPr>
                <w:rFonts w:ascii="Times New Roman" w:cs="Times New Roman" w:eastAsia="Times New Roman" w:hAnsi="Times New Roman"/>
                <w:sz w:val="14"/>
                <w:szCs w:val="14"/>
                <w:b w:val="1"/>
                <w:bCs w:val="1"/>
                <w:color w:val="auto"/>
              </w:rPr>
              <w:t>The NASDAQ Stock Market</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bl>
    <w:p>
      <w:pPr>
        <w:ind w:left="38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5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40"/>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32" w:right="339" w:bottom="1440" w:gutter="0" w:footer="0" w:header="0"/>
        </w:sectPr>
      </w:pPr>
    </w:p>
    <w:p>
      <w:pPr>
        <w:spacing w:after="0" w:line="3" w:lineRule="exact"/>
        <w:rPr>
          <w:sz w:val="24"/>
          <w:szCs w:val="24"/>
          <w:color w:val="auto"/>
        </w:rPr>
      </w:pPr>
    </w:p>
    <w:p>
      <w:pPr>
        <w:ind w:left="20" w:right="700"/>
        <w:spacing w:after="0" w:line="331"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327" w:lineRule="exact"/>
        <w:rPr>
          <w:sz w:val="24"/>
          <w:szCs w:val="24"/>
          <w:color w:val="auto"/>
        </w:rPr>
      </w:pPr>
    </w:p>
    <w:p>
      <w:pPr>
        <w:sectPr>
          <w:pgSz w:w="11900" w:h="16838" w:orient="portrait"/>
          <w:cols w:equalWidth="0" w:num="6">
            <w:col w:w="2300" w:space="720"/>
            <w:col w:w="140" w:space="620"/>
            <w:col w:w="2280" w:space="720"/>
            <w:col w:w="120" w:space="620"/>
            <w:col w:w="2280" w:space="720"/>
            <w:col w:w="720"/>
          </w:cols>
          <w:pgMar w:left="320" w:top="1232" w:right="33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as of July 2, 2023 (based on the closing market price of the common stock on the Composite Tape on June 30, 2023) was approximately $1,722,730,616 (determined by subtracting from the number of shares outstanding on that date the number of shares held by affiliates of the registrant).</w:t>
      </w:r>
    </w:p>
    <w:p>
      <w:pPr>
        <w:spacing w:after="0" w:line="31"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4"/>
          <w:szCs w:val="14"/>
          <w:color w:val="auto"/>
        </w:rPr>
        <w:t>The number of shares outstanding of the registrant’s common stock, as of the latest practicable date: At February 21, 2024, there were 36,628,247 outstanding shares of The ODP Corporation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Certain information required for Part III of this Annual Report on Form 10-K is incorporated by reference to The ODP Corporation’s definitive Proxy Statement for its 2024 Annual Meeting of Shareholders, to be filed with the Securities and Exchange Commission within 120 days after close of the registrant’s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3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order and presentation of this Annual Report on Form 10-K differ from that of the traditional U.S. Securities and Exchange Commission (“SEC”) Form 10-K format. We believe that our format better presents the relevant sections of this document and enhances readability. See “Form 10-K Cross-Reference Index” within Financial Statements and Supplemental Details for a cross-reference index to the traditional SEC Form 10-K format.</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9320" w:type="dxa"/>
            <w:vAlign w:val="bottom"/>
            <w:tcBorders>
              <w:bottom w:val="single" w:sz="8" w:color="auto"/>
            </w:tcBorders>
            <w:gridSpan w:val="39"/>
          </w:tcPr>
          <w:p>
            <w:pPr>
              <w:ind w:left="20"/>
              <w:spacing w:after="0"/>
              <w:rPr>
                <w:sz w:val="20"/>
                <w:szCs w:val="20"/>
                <w:color w:val="auto"/>
              </w:rPr>
            </w:pPr>
            <w:r>
              <w:rPr>
                <w:rFonts w:ascii="Times New Roman" w:cs="Times New Roman" w:eastAsia="Times New Roman" w:hAnsi="Times New Roman"/>
                <w:sz w:val="25"/>
                <w:szCs w:val="25"/>
                <w:color w:val="auto"/>
              </w:rPr>
              <w:t>Fundamentals of Our Business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85"/>
        </w:trPr>
        <w:tc>
          <w:tcPr>
            <w:tcW w:w="340" w:type="dxa"/>
            <w:vAlign w:val="bottom"/>
          </w:tcPr>
          <w:p>
            <w:pPr>
              <w:spacing w:after="0"/>
              <w:rPr>
                <w:sz w:val="16"/>
                <w:szCs w:val="16"/>
                <w:color w:val="auto"/>
              </w:rPr>
            </w:pPr>
          </w:p>
        </w:tc>
        <w:tc>
          <w:tcPr>
            <w:tcW w:w="8980" w:type="dxa"/>
            <w:vAlign w:val="bottom"/>
            <w:gridSpan w:val="38"/>
          </w:tcPr>
          <w:p>
            <w:pPr>
              <w:spacing w:after="0" w:line="185" w:lineRule="exact"/>
              <w:rPr>
                <w:sz w:val="20"/>
                <w:szCs w:val="20"/>
                <w:color w:val="auto"/>
              </w:rPr>
            </w:pPr>
            <w:r>
              <w:rPr>
                <w:rFonts w:ascii="Times New Roman" w:cs="Times New Roman" w:eastAsia="Times New Roman" w:hAnsi="Times New Roman"/>
                <w:sz w:val="18"/>
                <w:szCs w:val="18"/>
                <w:color w:val="0000FF"/>
              </w:rPr>
              <w:t>The Company</w:t>
            </w:r>
          </w:p>
        </w:tc>
        <w:tc>
          <w:tcPr>
            <w:tcW w:w="19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2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How We Organize Our Business</w:t>
            </w:r>
          </w:p>
        </w:tc>
        <w:tc>
          <w:tcPr>
            <w:tcW w:w="6620" w:type="dxa"/>
            <w:vAlign w:val="bottom"/>
            <w:gridSpan w:val="21"/>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40" w:type="dxa"/>
            <w:vAlign w:val="bottom"/>
          </w:tcPr>
          <w:p>
            <w:pPr>
              <w:spacing w:after="0"/>
              <w:rPr>
                <w:sz w:val="19"/>
                <w:szCs w:val="19"/>
                <w:color w:val="auto"/>
              </w:rPr>
            </w:pPr>
          </w:p>
        </w:tc>
        <w:tc>
          <w:tcPr>
            <w:tcW w:w="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Our Capital</w:t>
            </w:r>
          </w:p>
        </w:tc>
        <w:tc>
          <w:tcPr>
            <w:tcW w:w="20" w:type="dxa"/>
            <w:vAlign w:val="bottom"/>
            <w:tcBorders>
              <w:bottom w:val="single" w:sz="8" w:color="0000EE"/>
            </w:tcBorders>
          </w:tcPr>
          <w:p>
            <w:pPr>
              <w:spacing w:after="0"/>
              <w:rPr>
                <w:sz w:val="19"/>
                <w:szCs w:val="19"/>
                <w:color w:val="auto"/>
              </w:rPr>
            </w:pPr>
          </w:p>
        </w:tc>
        <w:tc>
          <w:tcPr>
            <w:tcW w:w="8100" w:type="dxa"/>
            <w:vAlign w:val="bottom"/>
            <w:gridSpan w:val="32"/>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Our Strategy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Who Manages Our Business</w:t>
            </w:r>
          </w:p>
        </w:tc>
        <w:tc>
          <w:tcPr>
            <w:tcW w:w="6920" w:type="dxa"/>
            <w:vAlign w:val="bottom"/>
            <w:gridSpan w:val="25"/>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55"/>
        </w:trPr>
        <w:tc>
          <w:tcPr>
            <w:tcW w:w="9320" w:type="dxa"/>
            <w:vAlign w:val="bottom"/>
            <w:tcBorders>
              <w:bottom w:val="single" w:sz="8" w:color="auto"/>
            </w:tcBorders>
            <w:gridSpan w:val="39"/>
          </w:tcPr>
          <w:p>
            <w:pPr>
              <w:ind w:left="20"/>
              <w:spacing w:after="0"/>
              <w:rPr>
                <w:sz w:val="20"/>
                <w:szCs w:val="20"/>
                <w:color w:val="auto"/>
              </w:rPr>
            </w:pPr>
            <w:r>
              <w:rPr>
                <w:rFonts w:ascii="Times New Roman" w:cs="Times New Roman" w:eastAsia="Times New Roman" w:hAnsi="Times New Roman"/>
                <w:sz w:val="25"/>
                <w:szCs w:val="25"/>
                <w:color w:val="auto"/>
              </w:rPr>
              <w:t>Other Key Information</w:t>
            </w:r>
          </w:p>
        </w:tc>
        <w:tc>
          <w:tcPr>
            <w:tcW w:w="1920" w:type="dxa"/>
            <w:vAlign w:val="bottom"/>
            <w:tcBorders>
              <w:bottom w:val="single" w:sz="8" w:color="auto"/>
            </w:tcBorders>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8980" w:type="dxa"/>
            <w:vAlign w:val="bottom"/>
            <w:gridSpan w:val="38"/>
          </w:tcPr>
          <w:p>
            <w:pPr>
              <w:spacing w:after="0" w:line="185" w:lineRule="exact"/>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940" w:type="dxa"/>
            <w:vAlign w:val="bottom"/>
            <w:gridSpan w:val="30"/>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340" w:type="dxa"/>
            <w:vAlign w:val="bottom"/>
          </w:tcPr>
          <w:p>
            <w:pPr>
              <w:spacing w:after="0"/>
              <w:rPr>
                <w:sz w:val="19"/>
                <w:szCs w:val="19"/>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9"/>
                <w:szCs w:val="19"/>
                <w:color w:val="auto"/>
              </w:rPr>
            </w:pPr>
          </w:p>
        </w:tc>
        <w:tc>
          <w:tcPr>
            <w:tcW w:w="8220" w:type="dxa"/>
            <w:vAlign w:val="bottom"/>
            <w:gridSpan w:val="35"/>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40" w:type="dxa"/>
            <w:vAlign w:val="bottom"/>
          </w:tcPr>
          <w:p>
            <w:pPr>
              <w:spacing w:after="0"/>
              <w:rPr>
                <w:sz w:val="19"/>
                <w:szCs w:val="19"/>
                <w:color w:val="auto"/>
              </w:rPr>
            </w:pP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9"/>
                <w:szCs w:val="19"/>
                <w:color w:val="auto"/>
              </w:rPr>
            </w:pPr>
          </w:p>
        </w:tc>
        <w:tc>
          <w:tcPr>
            <w:tcW w:w="7620" w:type="dxa"/>
            <w:vAlign w:val="bottom"/>
            <w:gridSpan w:val="28"/>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40" w:type="dxa"/>
            <w:vAlign w:val="bottom"/>
          </w:tcPr>
          <w:p>
            <w:pPr>
              <w:spacing w:after="0"/>
              <w:rPr>
                <w:sz w:val="19"/>
                <w:szCs w:val="19"/>
                <w:color w:val="auto"/>
              </w:rPr>
            </w:pPr>
          </w:p>
        </w:tc>
        <w:tc>
          <w:tcPr>
            <w:tcW w:w="744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w w:val="99"/>
              </w:rPr>
              <w:t>Market for Our Common Stock, Related Stockholder Matters and Issuer Purchases of Equity Securities</w:t>
            </w:r>
          </w:p>
        </w:tc>
        <w:tc>
          <w:tcPr>
            <w:tcW w:w="15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55"/>
        </w:trPr>
        <w:tc>
          <w:tcPr>
            <w:tcW w:w="9320" w:type="dxa"/>
            <w:vAlign w:val="bottom"/>
            <w:tcBorders>
              <w:bottom w:val="single" w:sz="8" w:color="auto"/>
            </w:tcBorders>
            <w:gridSpan w:val="39"/>
          </w:tcPr>
          <w:p>
            <w:pPr>
              <w:ind w:left="20"/>
              <w:spacing w:after="0"/>
              <w:rPr>
                <w:sz w:val="20"/>
                <w:szCs w:val="20"/>
                <w:color w:val="auto"/>
              </w:rPr>
            </w:pPr>
            <w:r>
              <w:rPr>
                <w:rFonts w:ascii="Times New Roman" w:cs="Times New Roman" w:eastAsia="Times New Roman" w:hAnsi="Times New Roman"/>
                <w:sz w:val="25"/>
                <w:szCs w:val="25"/>
                <w:color w:val="auto"/>
              </w:rPr>
              <w:t>Management’s Discussion and Analysis (MD&amp;A)</w:t>
            </w:r>
          </w:p>
        </w:tc>
        <w:tc>
          <w:tcPr>
            <w:tcW w:w="1920" w:type="dxa"/>
            <w:vAlign w:val="bottom"/>
            <w:tcBorders>
              <w:bottom w:val="single" w:sz="8" w:color="auto"/>
            </w:tcBorders>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720" w:type="dxa"/>
            <w:vAlign w:val="bottom"/>
            <w:tcBorders>
              <w:bottom w:val="single" w:sz="8" w:color="0000FF"/>
            </w:tcBorders>
          </w:tcPr>
          <w:p>
            <w:pPr>
              <w:spacing w:after="0" w:line="185" w:lineRule="exact"/>
              <w:rPr>
                <w:sz w:val="20"/>
                <w:szCs w:val="20"/>
                <w:color w:val="auto"/>
              </w:rPr>
            </w:pPr>
            <w:r>
              <w:rPr>
                <w:rFonts w:ascii="Times New Roman" w:cs="Times New Roman" w:eastAsia="Times New Roman" w:hAnsi="Times New Roman"/>
                <w:sz w:val="18"/>
                <w:szCs w:val="18"/>
                <w:color w:val="0000FF"/>
                <w:w w:val="98"/>
              </w:rPr>
              <w:t>Overview</w:t>
            </w:r>
          </w:p>
        </w:tc>
        <w:tc>
          <w:tcPr>
            <w:tcW w:w="20" w:type="dxa"/>
            <w:vAlign w:val="bottom"/>
            <w:tcBorders>
              <w:bottom w:val="single" w:sz="8" w:color="0000EE"/>
            </w:tcBorders>
          </w:tcPr>
          <w:p>
            <w:pPr>
              <w:spacing w:after="0"/>
              <w:rPr>
                <w:sz w:val="16"/>
                <w:szCs w:val="16"/>
                <w:color w:val="auto"/>
              </w:rPr>
            </w:pPr>
          </w:p>
        </w:tc>
        <w:tc>
          <w:tcPr>
            <w:tcW w:w="8240" w:type="dxa"/>
            <w:vAlign w:val="bottom"/>
            <w:gridSpan w:val="36"/>
          </w:tcPr>
          <w:p>
            <w:pPr>
              <w:spacing w:after="0"/>
              <w:rPr>
                <w:sz w:val="16"/>
                <w:szCs w:val="16"/>
                <w:color w:val="auto"/>
              </w:rPr>
            </w:pPr>
          </w:p>
        </w:tc>
        <w:tc>
          <w:tcPr>
            <w:tcW w:w="19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30</w:t>
            </w: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Operating Results by Division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Significant Trends, Developments and Uncertainties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340" w:type="dxa"/>
            <w:vAlign w:val="bottom"/>
          </w:tcPr>
          <w:p>
            <w:pPr>
              <w:spacing w:after="0"/>
              <w:rPr>
                <w:sz w:val="19"/>
                <w:szCs w:val="19"/>
                <w:color w:val="auto"/>
              </w:rPr>
            </w:pPr>
          </w:p>
        </w:tc>
        <w:tc>
          <w:tcPr>
            <w:tcW w:w="376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Market Sensitive Risks and Positions</w:t>
            </w:r>
          </w:p>
        </w:tc>
        <w:tc>
          <w:tcPr>
            <w:tcW w:w="5220" w:type="dxa"/>
            <w:vAlign w:val="bottom"/>
            <w:gridSpan w:val="8"/>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40" w:type="dxa"/>
            <w:vAlign w:val="bottom"/>
          </w:tcPr>
          <w:p>
            <w:pPr>
              <w:spacing w:after="0"/>
              <w:rPr>
                <w:sz w:val="19"/>
                <w:szCs w:val="19"/>
                <w:color w:val="auto"/>
              </w:rPr>
            </w:pPr>
          </w:p>
        </w:tc>
        <w:tc>
          <w:tcPr>
            <w:tcW w:w="8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Seasonality</w:t>
            </w:r>
          </w:p>
        </w:tc>
        <w:tc>
          <w:tcPr>
            <w:tcW w:w="20" w:type="dxa"/>
            <w:vAlign w:val="bottom"/>
            <w:tcBorders>
              <w:top w:val="single" w:sz="8" w:color="0000FF"/>
              <w:bottom w:val="single" w:sz="8" w:color="0000EE"/>
            </w:tcBorders>
          </w:tcPr>
          <w:p>
            <w:pPr>
              <w:spacing w:after="0"/>
              <w:rPr>
                <w:sz w:val="19"/>
                <w:szCs w:val="19"/>
                <w:color w:val="auto"/>
              </w:rPr>
            </w:pPr>
          </w:p>
        </w:tc>
        <w:tc>
          <w:tcPr>
            <w:tcW w:w="1820" w:type="dxa"/>
            <w:vAlign w:val="bottom"/>
            <w:tcBorders>
              <w:top w:val="single" w:sz="8" w:color="0000FF"/>
            </w:tcBorders>
            <w:gridSpan w:val="14"/>
          </w:tcPr>
          <w:p>
            <w:pPr>
              <w:spacing w:after="0"/>
              <w:rPr>
                <w:sz w:val="19"/>
                <w:szCs w:val="19"/>
                <w:color w:val="auto"/>
              </w:rPr>
            </w:pPr>
          </w:p>
        </w:tc>
        <w:tc>
          <w:tcPr>
            <w:tcW w:w="6300" w:type="dxa"/>
            <w:vAlign w:val="bottom"/>
            <w:gridSpan w:val="19"/>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New Accounting Standards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43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5"/>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55"/>
        </w:trPr>
        <w:tc>
          <w:tcPr>
            <w:tcW w:w="9320" w:type="dxa"/>
            <w:vAlign w:val="bottom"/>
            <w:tcBorders>
              <w:bottom w:val="single" w:sz="8" w:color="auto"/>
            </w:tcBorders>
            <w:gridSpan w:val="39"/>
          </w:tcPr>
          <w:p>
            <w:pPr>
              <w:ind w:left="20"/>
              <w:spacing w:after="0"/>
              <w:rPr>
                <w:sz w:val="20"/>
                <w:szCs w:val="20"/>
                <w:color w:val="auto"/>
              </w:rPr>
            </w:pPr>
            <w:r>
              <w:rPr>
                <w:rFonts w:ascii="Times New Roman" w:cs="Times New Roman" w:eastAsia="Times New Roman" w:hAnsi="Times New Roman"/>
                <w:sz w:val="25"/>
                <w:szCs w:val="25"/>
                <w:color w:val="auto"/>
              </w:rPr>
              <w:t>Controls and Procedures</w:t>
            </w:r>
          </w:p>
        </w:tc>
        <w:tc>
          <w:tcPr>
            <w:tcW w:w="1920" w:type="dxa"/>
            <w:vAlign w:val="bottom"/>
            <w:tcBorders>
              <w:bottom w:val="single" w:sz="8" w:color="auto"/>
            </w:tcBorders>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8980" w:type="dxa"/>
            <w:vAlign w:val="bottom"/>
            <w:gridSpan w:val="38"/>
          </w:tcPr>
          <w:p>
            <w:pPr>
              <w:spacing w:after="0" w:line="185" w:lineRule="exact"/>
              <w:rPr>
                <w:sz w:val="20"/>
                <w:szCs w:val="20"/>
                <w:color w:val="auto"/>
              </w:rPr>
            </w:pPr>
            <w:r>
              <w:rPr>
                <w:rFonts w:ascii="Times New Roman" w:cs="Times New Roman" w:eastAsia="Times New Roman" w:hAnsi="Times New Roman"/>
                <w:sz w:val="18"/>
                <w:szCs w:val="18"/>
                <w:color w:val="0000FF"/>
              </w:rPr>
              <w:t>Management’s Disclosures</w:t>
            </w:r>
          </w:p>
        </w:tc>
        <w:tc>
          <w:tcPr>
            <w:tcW w:w="19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Auditor’s Report on Internal Control over Financial Reporting</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55"/>
        </w:trPr>
        <w:tc>
          <w:tcPr>
            <w:tcW w:w="9320" w:type="dxa"/>
            <w:vAlign w:val="bottom"/>
            <w:tcBorders>
              <w:bottom w:val="single" w:sz="8" w:color="auto"/>
            </w:tcBorders>
            <w:gridSpan w:val="39"/>
          </w:tcPr>
          <w:p>
            <w:pPr>
              <w:ind w:left="20"/>
              <w:spacing w:after="0"/>
              <w:rPr>
                <w:sz w:val="20"/>
                <w:szCs w:val="20"/>
                <w:color w:val="auto"/>
              </w:rPr>
            </w:pPr>
            <w:r>
              <w:rPr>
                <w:rFonts w:ascii="Times New Roman" w:cs="Times New Roman" w:eastAsia="Times New Roman" w:hAnsi="Times New Roman"/>
                <w:sz w:val="25"/>
                <w:szCs w:val="25"/>
                <w:color w:val="auto"/>
              </w:rPr>
              <w:t>Reference to the Proxy Statement</w:t>
            </w:r>
          </w:p>
        </w:tc>
        <w:tc>
          <w:tcPr>
            <w:tcW w:w="1920" w:type="dxa"/>
            <w:vAlign w:val="bottom"/>
            <w:tcBorders>
              <w:bottom w:val="single" w:sz="8" w:color="auto"/>
            </w:tcBorders>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4100" w:type="dxa"/>
            <w:vAlign w:val="bottom"/>
            <w:tcBorders>
              <w:bottom w:val="single" w:sz="8" w:color="0000FF"/>
            </w:tcBorders>
            <w:gridSpan w:val="31"/>
          </w:tcPr>
          <w:p>
            <w:pPr>
              <w:spacing w:after="0" w:line="185"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7"/>
          </w:tcPr>
          <w:p>
            <w:pPr>
              <w:spacing w:after="0"/>
              <w:rPr>
                <w:sz w:val="16"/>
                <w:szCs w:val="16"/>
                <w:color w:val="auto"/>
              </w:rPr>
            </w:pPr>
          </w:p>
        </w:tc>
        <w:tc>
          <w:tcPr>
            <w:tcW w:w="19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50</w:t>
            </w: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60" w:type="dxa"/>
            <w:vAlign w:val="bottom"/>
            <w:tcBorders>
              <w:right w:val="single" w:sz="8" w:color="0000EE"/>
            </w:tcBorders>
            <w:gridSpan w:val="8"/>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40" w:type="dxa"/>
            <w:vAlign w:val="bottom"/>
          </w:tcPr>
          <w:p>
            <w:pPr>
              <w:spacing w:after="0"/>
              <w:rPr>
                <w:sz w:val="19"/>
                <w:szCs w:val="19"/>
                <w:color w:val="auto"/>
              </w:rPr>
            </w:pPr>
          </w:p>
        </w:tc>
        <w:tc>
          <w:tcPr>
            <w:tcW w:w="728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00" w:type="dxa"/>
            <w:vAlign w:val="bottom"/>
            <w:gridSpan w:val="2"/>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40" w:type="dxa"/>
            <w:vAlign w:val="bottom"/>
          </w:tcPr>
          <w:p>
            <w:pPr>
              <w:spacing w:after="0"/>
              <w:rPr>
                <w:sz w:val="19"/>
                <w:szCs w:val="19"/>
                <w:color w:val="auto"/>
              </w:rPr>
            </w:pPr>
          </w:p>
        </w:tc>
        <w:tc>
          <w:tcPr>
            <w:tcW w:w="286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tcBorders>
              <w:top w:val="single" w:sz="8" w:color="0000FF"/>
            </w:tcBorders>
            <w:gridSpan w:val="13"/>
          </w:tcPr>
          <w:p>
            <w:pPr>
              <w:spacing w:after="0"/>
              <w:rPr>
                <w:sz w:val="19"/>
                <w:szCs w:val="19"/>
                <w:color w:val="auto"/>
              </w:rPr>
            </w:pPr>
          </w:p>
        </w:tc>
        <w:tc>
          <w:tcPr>
            <w:tcW w:w="3540" w:type="dxa"/>
            <w:vAlign w:val="bottom"/>
            <w:gridSpan w:val="3"/>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55"/>
        </w:trPr>
        <w:tc>
          <w:tcPr>
            <w:tcW w:w="9320" w:type="dxa"/>
            <w:vAlign w:val="bottom"/>
            <w:tcBorders>
              <w:bottom w:val="single" w:sz="8" w:color="auto"/>
            </w:tcBorders>
            <w:gridSpan w:val="39"/>
          </w:tcPr>
          <w:p>
            <w:pPr>
              <w:ind w:left="20"/>
              <w:spacing w:after="0"/>
              <w:rPr>
                <w:sz w:val="20"/>
                <w:szCs w:val="20"/>
                <w:color w:val="auto"/>
              </w:rPr>
            </w:pPr>
            <w:r>
              <w:rPr>
                <w:rFonts w:ascii="Times New Roman" w:cs="Times New Roman" w:eastAsia="Times New Roman" w:hAnsi="Times New Roman"/>
                <w:sz w:val="25"/>
                <w:szCs w:val="25"/>
                <w:color w:val="auto"/>
              </w:rPr>
              <w:t>Financial Statements and Supplemental Details</w:t>
            </w:r>
          </w:p>
        </w:tc>
        <w:tc>
          <w:tcPr>
            <w:tcW w:w="1920" w:type="dxa"/>
            <w:vAlign w:val="bottom"/>
            <w:tcBorders>
              <w:bottom w:val="single" w:sz="8" w:color="auto"/>
            </w:tcBorders>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3160" w:type="dxa"/>
            <w:vAlign w:val="bottom"/>
            <w:tcBorders>
              <w:bottom w:val="single" w:sz="8" w:color="0000FF"/>
            </w:tcBorders>
            <w:gridSpan w:val="27"/>
          </w:tcPr>
          <w:p>
            <w:pPr>
              <w:spacing w:after="0" w:line="185"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20" w:type="dxa"/>
            <w:vAlign w:val="bottom"/>
            <w:gridSpan w:val="11"/>
          </w:tcPr>
          <w:p>
            <w:pPr>
              <w:spacing w:after="0"/>
              <w:rPr>
                <w:sz w:val="16"/>
                <w:szCs w:val="16"/>
                <w:color w:val="auto"/>
              </w:rPr>
            </w:pPr>
          </w:p>
        </w:tc>
        <w:tc>
          <w:tcPr>
            <w:tcW w:w="19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51</w:t>
            </w: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Auditor’s Report on the Financial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340" w:type="dxa"/>
            <w:vAlign w:val="bottom"/>
          </w:tcPr>
          <w:p>
            <w:pPr>
              <w:spacing w:after="0"/>
              <w:rPr>
                <w:sz w:val="19"/>
                <w:szCs w:val="19"/>
                <w:color w:val="auto"/>
              </w:rPr>
            </w:pPr>
          </w:p>
        </w:tc>
        <w:tc>
          <w:tcPr>
            <w:tcW w:w="282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top w:val="single" w:sz="8" w:color="0000FF"/>
              <w:bottom w:val="single" w:sz="8" w:color="0000EE"/>
            </w:tcBorders>
          </w:tcPr>
          <w:p>
            <w:pPr>
              <w:spacing w:after="0"/>
              <w:rPr>
                <w:sz w:val="19"/>
                <w:szCs w:val="19"/>
                <w:color w:val="auto"/>
              </w:rPr>
            </w:pPr>
          </w:p>
        </w:tc>
        <w:tc>
          <w:tcPr>
            <w:tcW w:w="420" w:type="dxa"/>
            <w:vAlign w:val="bottom"/>
            <w:tcBorders>
              <w:top w:val="single" w:sz="8" w:color="0000FF"/>
            </w:tcBorders>
            <w:gridSpan w:val="7"/>
          </w:tcPr>
          <w:p>
            <w:pPr>
              <w:spacing w:after="0"/>
              <w:rPr>
                <w:sz w:val="19"/>
                <w:szCs w:val="19"/>
                <w:color w:val="auto"/>
              </w:rPr>
            </w:pPr>
          </w:p>
        </w:tc>
        <w:tc>
          <w:tcPr>
            <w:tcW w:w="5720" w:type="dxa"/>
            <w:vAlign w:val="bottom"/>
            <w:gridSpan w:val="10"/>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340" w:type="dxa"/>
            <w:vAlign w:val="bottom"/>
          </w:tcPr>
          <w:p>
            <w:pPr>
              <w:spacing w:after="0"/>
              <w:rPr>
                <w:sz w:val="19"/>
                <w:szCs w:val="19"/>
                <w:color w:val="auto"/>
              </w:rPr>
            </w:pPr>
          </w:p>
        </w:tc>
        <w:tc>
          <w:tcPr>
            <w:tcW w:w="21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00" w:type="dxa"/>
            <w:vAlign w:val="bottom"/>
            <w:tcBorders>
              <w:top w:val="single" w:sz="8" w:color="0000FF"/>
              <w:bottom w:val="single" w:sz="8" w:color="0000EE"/>
            </w:tcBorders>
          </w:tcPr>
          <w:p>
            <w:pPr>
              <w:spacing w:after="0"/>
              <w:rPr>
                <w:sz w:val="19"/>
                <w:szCs w:val="19"/>
                <w:color w:val="auto"/>
              </w:rPr>
            </w:pPr>
          </w:p>
        </w:tc>
        <w:tc>
          <w:tcPr>
            <w:tcW w:w="2040" w:type="dxa"/>
            <w:vAlign w:val="bottom"/>
            <w:tcBorders>
              <w:top w:val="single" w:sz="8" w:color="0000FF"/>
            </w:tcBorders>
            <w:gridSpan w:val="17"/>
          </w:tcPr>
          <w:p>
            <w:pPr>
              <w:spacing w:after="0"/>
              <w:rPr>
                <w:sz w:val="19"/>
                <w:szCs w:val="19"/>
                <w:color w:val="auto"/>
              </w:rPr>
            </w:pPr>
          </w:p>
        </w:tc>
        <w:tc>
          <w:tcPr>
            <w:tcW w:w="4740" w:type="dxa"/>
            <w:vAlign w:val="bottom"/>
            <w:gridSpan w:val="6"/>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40" w:type="dxa"/>
            <w:vAlign w:val="bottom"/>
          </w:tcPr>
          <w:p>
            <w:pPr>
              <w:spacing w:after="0"/>
              <w:rPr>
                <w:sz w:val="19"/>
                <w:szCs w:val="19"/>
                <w:color w:val="auto"/>
              </w:rPr>
            </w:pPr>
          </w:p>
        </w:tc>
        <w:tc>
          <w:tcPr>
            <w:tcW w:w="28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9"/>
                <w:szCs w:val="19"/>
                <w:color w:val="auto"/>
              </w:rPr>
            </w:pPr>
          </w:p>
        </w:tc>
        <w:tc>
          <w:tcPr>
            <w:tcW w:w="6080" w:type="dxa"/>
            <w:vAlign w:val="bottom"/>
            <w:gridSpan w:val="14"/>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40" w:type="dxa"/>
            <w:vAlign w:val="bottom"/>
          </w:tcPr>
          <w:p>
            <w:pPr>
              <w:spacing w:after="0"/>
              <w:rPr>
                <w:sz w:val="19"/>
                <w:szCs w:val="19"/>
                <w:color w:val="auto"/>
              </w:rPr>
            </w:pPr>
          </w:p>
        </w:tc>
        <w:tc>
          <w:tcPr>
            <w:tcW w:w="89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340" w:type="dxa"/>
            <w:vAlign w:val="bottom"/>
          </w:tcPr>
          <w:p>
            <w:pPr>
              <w:spacing w:after="0"/>
              <w:rPr>
                <w:sz w:val="19"/>
                <w:szCs w:val="19"/>
                <w:color w:val="auto"/>
              </w:rPr>
            </w:pPr>
          </w:p>
        </w:tc>
        <w:tc>
          <w:tcPr>
            <w:tcW w:w="354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440" w:type="dxa"/>
            <w:vAlign w:val="bottom"/>
            <w:gridSpan w:val="9"/>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340" w:type="dxa"/>
            <w:vAlign w:val="bottom"/>
          </w:tcPr>
          <w:p>
            <w:pPr>
              <w:spacing w:after="0"/>
              <w:rPr>
                <w:sz w:val="19"/>
                <w:szCs w:val="19"/>
                <w:color w:val="auto"/>
              </w:rPr>
            </w:pPr>
          </w:p>
        </w:tc>
        <w:tc>
          <w:tcPr>
            <w:tcW w:w="31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Form 10-K Cross-Reference Index</w:t>
            </w:r>
          </w:p>
        </w:tc>
        <w:tc>
          <w:tcPr>
            <w:tcW w:w="5840" w:type="dxa"/>
            <w:vAlign w:val="bottom"/>
            <w:gridSpan w:val="12"/>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228"/>
        </w:trPr>
        <w:tc>
          <w:tcPr>
            <w:tcW w:w="34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30, 2023 (“Annual Report”) contains forward-looking statements, within the meaning of the Private Securities Litigation Reform Act of 1995 (the “Reform Act”), that involve risks and uncertainties. These forward-looking statements include both historical information and other information that can be used to infer future performance. Examples of historical information include annual financial statements and the commentary on past performance contained in Management’s Discussion and Analysis of Financial Condition and Results of Operations (“MD&amp;A”). While certain information has specifically been identified as being forward-looking in the context of its presentation, we caution you that, with the exception of information that is historical, all the information contained in this Annual Report should be considered to be “forward-looking statements” as referred to in the Reform Act. Without limiting the generality of the preceding sentence, any time we use the words “estimate,” “project,” “intend,” “expect,” “believe,” “anticipate,” “continue,” “may,” “will” and similar expressions, we intend to clearly express that the information deals with possible future events and is forward-looking in nature. Certain information in MD&amp;A is clearly forward-looking in nature, and without limiting the generality of the preceding cautionary statements, we specifically advise you to consider all of MD&amp;A in the light of the cautionary statements set forth herein.</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Much of the information in this Annual Report that looks towards future performance of The ODP Corporation and its consolidated subsidiaries is based on various factors and important assumptions about future events that may or may not actually come true. As a result, our operations and financial results in the future could differ materially and substantially from those we have discussed in this Annual Report. Significant factors that could impact our future results are provided in “Risk Factors” within Other Key Information in this Annual Report. Other risk factors are incorporated into the text of MD&amp;A, which should itself be considered a statement of future risks and uncertainties, as well as management’s view of our businesses. We assume no obligation (and specifically disclaim any such obligation) to publicly update or revise any forward-looking statements, whether as a result of new information, future events or otherwise, except as required by law.</w:t>
      </w:r>
    </w:p>
    <w:p>
      <w:pPr>
        <w:spacing w:after="0" w:line="133"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In this Annual Report, unless the context otherwise requires, the “Company,” “ODP,” “we,” “us,” and “our” refer to The ODP Corporation and its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ODP Corporation (including its consolidated subsidiaries, “ODP” or the “Company”) is a leading provider of products, services and technology solutions through an integrated business-to-business (“B2B”) distribution platform and omni-channel presence, which includes supply chain and distribution operations, dedicated sales professionals, a B2B digital procurement solution, online presence, and a network of Office Depot and OfficeMax retail stores. We were incorporated in the state of Delaware in 1986 with the name Office Depot, Inc. and opened our first retail store in Fort Lauderdale, Florida on October 9, 1986.</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vision is to empower every business, professional and consumer with the products and services they need to achieve more every day. We achieve our vision by driving our low-cost business model and continuing to provide our customers with innovative products and services they need to sustainably grow their businesses. We remain focused on driving stable growth and deploying a disciplined capital management strategy, which has helped position us as a leading provider of business products, services and supplies, and digital workplace technology solutions to small, medium and enterprise-level businesses. Our foundation is our 5C culture, which is customer, commitment, creativity, change and caring. These 5Cs drive strong community support and focus on sustainability, diversity and environmental improvements.</w:t>
      </w:r>
    </w:p>
    <w:p>
      <w:pPr>
        <w:spacing w:after="0" w:line="13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We operate through four business units including ODP Business Solutions, LLC; Office Depot, LLC; Veyer, LLC; and Varis, Inc. These four synergistic and defined business units position us to deliver value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114935</wp:posOffset>
            </wp:positionV>
            <wp:extent cx="5625465" cy="2192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5465" cy="219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7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Our fiscal year results are based on a 52- or 53-week calendar ending on the last Saturday in December. Fiscal year 2023 had 52 weeks and ended on December 30, 2023. Fiscal year 2022 had 53 weeks and ended on December 31, 2022. Fiscal year 2021 had 52 weeks and ended on December 25, 2021. Certain subsidiaries operate on a calendar year basis; however, the reporting difference did not have a material impact on 2023 and the other periods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We make available, free of charge, on the “Investor Relations” section of our website, investor.theodpcorp.com,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or furnish such materials to the United States Securities and Exchange Commission (“SEC”). The SEC maintains an Internet site that contains reports, proxy and information statements and other information regarding issuers, such as the Company, that file electronically with the SEC. The address of that website is www.sec.gov.</w:t>
      </w:r>
    </w:p>
    <w:p>
      <w:pPr>
        <w:spacing w:after="0" w:line="11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Additionally, our corporate governance materials, including our bylaws, corporate governance guidelines, charters of the Audit, Compensation &amp; Talent, and Corporate Governance &amp; Nominating Committees, and our code of ethical behavior may be found under the “Investor Relations” section of our website, investor.theodpcorp.com.</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 WE ORGANIZE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At December 30, 2023, our operations are organized into four reportable segments (or “Divisions”): ODP Business Solutions Division, Office Depot Division, Veyer Division, and Varis Division. We sold our CompuCom Division in the first quarter of 2022. Additional information regarding our Divisions is presented in MD&amp;A and in Note 4. “Segment Information” in Notes to Consolidated Financial Statements located in Financial Statements and Supplemental Details of this Annual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ODP BUSINESS SOLUTIONS DIVISION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The ODP Business Solutions Division</w:t>
      </w:r>
      <w:r>
        <w:rPr>
          <w:rFonts w:ascii="Times New Roman" w:cs="Times New Roman" w:eastAsia="Times New Roman" w:hAnsi="Times New Roman"/>
          <w:sz w:val="18"/>
          <w:szCs w:val="18"/>
          <w:color w:val="auto"/>
        </w:rPr>
        <w:t>, or ODP BSD, is our leading B2B distribution solutions provider serving small, medium and enterprise level companies, including those in the public and education sectors. This segment operates in the United States, Puerto Rico, the U.S. Virgin Islands, and Canada. The ODP Business Solutions Division sells nationally branded, as well as our private branded, office supply and adjacency products and services to customers, who are served through a dedicated sales force, catalogs, telesales, and electronically through our Internet websites. Adjacency products and services include cleaning, janitorial, and breakroom supplies, office furniture, technology products, and copy and print services. This segment also includes our Federation entities, which are over 20 regional office supply distribution businesses acquired by us as part of our transformation to expand our reach and distribution network into geographic areas that were previously underserved, and which continue to operate under their own brand names. The acquisition of these businesses has allowed for an effective and accretive opportunity to expand our distribution reach, target new business customers and grow our offerings beyond traditional office supplies.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we continued to build on several initiatives to expand our margins, grow in adjacency product and services categories, and increase cash flows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ODP BSD, including the following:</w:t>
      </w:r>
    </w:p>
    <w:p>
      <w:pPr>
        <w:spacing w:after="0" w:line="152"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strength in traditional office supplies by providing a customized experience for our customers, and offering differentiated value;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customer base through targeted business customer acquisitions and continued strong retention trends;</w:t>
      </w:r>
    </w:p>
    <w:p>
      <w:pPr>
        <w:spacing w:after="0" w:line="170"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sales in our adjacency categories by offering customers opportunities to save via consolidating vendors and leveraging our national distribution footprint;</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highly customizable digital customer experience, including subscription services and reporting and analytic tools;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key vendors to add new products to our assortment of offerings;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highly successful Federation strategy to acquire new small business customers while also expanding in underserved markets.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DEPOT DIVISION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The Office Depot Division</w:t>
      </w:r>
      <w:r>
        <w:rPr>
          <w:rFonts w:ascii="Times New Roman" w:cs="Times New Roman" w:eastAsia="Times New Roman" w:hAnsi="Times New Roman"/>
          <w:sz w:val="18"/>
          <w:szCs w:val="18"/>
          <w:color w:val="auto"/>
        </w:rPr>
        <w:t xml:space="preserve"> is our leading provider of retail consumer and small business products and services distributed through a fully integrated omni-channel platform of 916 Office Depot and OfficeMax retail locations in the United States, Puerto Rico and the U.S. Virgin Islands, and our eCommerce presence (www.officedepot.com). Our Office Depot Division sells office supplies, technology products and solutions, business machines and related supplies, cleaning, breakroom and facilities products, personal protective equipment, and office furniture, and offers business services including copying, printing, digital imaging, mailing, shipping and technology support services. In addition, the printing needs for retail and business customers are facilitated through our regional print production centers. Our Office Depot Division aims to serve small business, home office, educational customers, and consumers better than anyone else can by providing a unique combination of value, convenience and customer engagement.</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have a broad representation across the United States with the largest concentration of our retail stores in Texas, California, and Florida. Most of our retail stores are located in leased facilities that currently average over 20,000 square feet. To better serve our customers and to provide more options in how they choose to shop, we have a Buy Online-Pickup in Store (“BOPIS”) offering, and a 20 minute in-store or curbside pick-up guarantee for online orders placed two hours before our store closing time in all locations. We also offer same-day delivery in selected markets.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we continued to build on several initiatives to drive cash flow generation from our Office Depot Division, including the following:</w:t>
      </w:r>
    </w:p>
    <w:p>
      <w:pPr>
        <w:spacing w:after="0" w:line="171" w:lineRule="exact"/>
        <w:rPr>
          <w:sz w:val="20"/>
          <w:szCs w:val="20"/>
          <w:color w:val="auto"/>
        </w:rPr>
      </w:pPr>
    </w:p>
    <w:p>
      <w:pPr>
        <w:ind w:left="760" w:right="900" w:hanging="378"/>
        <w:spacing w:after="0" w:line="28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assortment of offerings to new adjacencies relevant to our core customer segments, including arts and crafts, home office organization and décor, select greeting cards and party supplies, and small business services;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industry-leading in-store pickup program while improving our online and mobile conversion rate and average order size;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store footprint and carefully manage expenses to remain highly profitable;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growing our 5C culture, giving back to our local communities and supporting equal opportunities in education and entrepreneurship.</w:t>
      </w:r>
    </w:p>
    <w:p>
      <w:pPr>
        <w:spacing w:after="0" w:line="17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2020, we implemented the Maximize B2B Restructuring Plan, a restructuring plan to re-align our operational focus to support our “business-to-business” solutions and IT services business units and improve costs. Implementation of the Maximize B2B Restructuring Plan was expected to be substantially completed by the end of 2023. In December 2022, our Board of Directors approved to extend the program through the end of 2024. The Maximize B2B Restructuring Plan aims to generate savings through optimizing the Company’s retail footprint, removing costs that directly support the Retail business and additional measures to implement a company-wide low-cost business model, which will then be invested in accelerating the growth of the Company’s business-to-business platform. Since the implementation of the Maximize B2B Restructuring Plan, we have closed a total of 297 retail stores as a result of this plan. Refer to Note 3. “Merger, Restructuring and Other Activity” in Notes to Consolidated Financial Statements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VEYER DIVISION</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u w:val="single" w:color="auto"/>
          <w:color w:val="auto"/>
        </w:rPr>
        <w:t>The Veyer Division</w:t>
      </w:r>
      <w:r>
        <w:rPr>
          <w:rFonts w:ascii="Times New Roman" w:cs="Times New Roman" w:eastAsia="Times New Roman" w:hAnsi="Times New Roman"/>
          <w:sz w:val="18"/>
          <w:szCs w:val="18"/>
          <w:color w:val="auto"/>
        </w:rPr>
        <w:t xml:space="preserve"> is our supply chain, distribution, procurement and global sourcing operation, which specializes in B2B and consumer business service delivery, with core competencies in distribution, fulfillment, transportation, global sourcing and purchasing. The Veyer Division’s customers include our Office Depot Division and ODP Business Solutions Division, as well as third-party customers. The Veyer Division also includes the Company’s global sourcing operations in Asia.</w:t>
      </w:r>
    </w:p>
    <w:p>
      <w:pPr>
        <w:spacing w:after="0" w:line="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Veyer Division’s assets and capabilities include eight million square feet of infrastructure through a nationwide network of distribution centers (“DCs”), crossdocks, and other facilities, which provides for coverage in all the key markets we serve. We have a workforce of approximately 3,000 team members, and a robust network of dedicated national and international carrier partnerships, supporting ocean, line haul, less than truckload and national small parcel capacity. We have a private fleet of over 500 vehicles in the Veyer Division’s delivery fleet and a nationwide last-mile delivery service. With our network coverage, we can reach 98.5% of the U.S. population for next day services across multiple distribution points, whether they are retail stores, consumer homes, or businesses. Our local and global sourcing offices in Asia select, source and purchase products each year in office product, technology, furniture, cleaning and breakroom categories, including private brands, all of which we distribute for our customers throughout our network. These assets are supported by quality technology that supports a high level of service for our customers and reduces Veyer Division’s operating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we continued to build on several initiatives to drive incremental income through our Veyer Division, including the following:</w:t>
      </w:r>
    </w:p>
    <w:p>
      <w:pPr>
        <w:spacing w:after="0" w:line="171" w:lineRule="exact"/>
        <w:rPr>
          <w:sz w:val="20"/>
          <w:szCs w:val="20"/>
          <w:color w:val="auto"/>
        </w:rPr>
      </w:pPr>
    </w:p>
    <w:p>
      <w:pPr>
        <w:ind w:left="760" w:right="6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exceptional service and competitive pricing to Office Depot and ODP Business Solutions to ensure they achieve their business objectives and remain highly competitive in the markets they serve;</w:t>
      </w:r>
    </w:p>
    <w:p>
      <w:pPr>
        <w:spacing w:after="0" w:line="108"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available existing capacity to attract and grow with new customers, including in the third-party logistics segment where there is demand for our services and capabilities;</w:t>
      </w:r>
    </w:p>
    <w:p>
      <w:pPr>
        <w:spacing w:after="0" w:line="108"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modernize key functionality to ensure we provide great value to our customers, for example, through automated technology and robotics in our DCs and crossdock facilities;</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 low-cost business model to drive profitability;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sales and marketing of our third-party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VARIS DIVISION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The Varis Division</w:t>
      </w:r>
      <w:r>
        <w:rPr>
          <w:rFonts w:ascii="Times New Roman" w:cs="Times New Roman" w:eastAsia="Times New Roman" w:hAnsi="Times New Roman"/>
          <w:sz w:val="18"/>
          <w:szCs w:val="18"/>
          <w:color w:val="auto"/>
        </w:rPr>
        <w:t xml:space="preserve"> is our tech-enabled B2B indirect procurement marketplace, which provides a seamless way for buyers and suppliers to transact through the platform’s consumer-like buying experience, advanced spend management tools, network of suppliers, and technology capabilities. In connection with our development efforts of this Division, we acquired BuyerQuest Holdings, Inc. (“BuyerQuest”) in 2021, a software as a service eProcurement platform company. BuyerQuest’s operating results are included in the operating results for our Varis Division. The Varis Division currently serves enterprise businesses and provides its services to middle- and small-sized businesses. It is focused on filling the growing demand for a B2B centric digital commerce platform that is modern, trusted, and provides the procurement controls and visibility businesses require to operate.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currently operate under the brand names Office Depot®, OfficeMax® and Grand &amp; Toy®, as well as others. We hold trademark registrations and pending applications domestically and worldwide for these operating brands as well as for a wide assortment of private branded products and services including “Office Depot,” “TUL®,” “Ativa®,” “Foray®,” “Realspace®,” “WorkPro®,” “Brenton Studio®,” “Highmark®,” “Executive Suite®,” “Juku®,” and others. We also hold issued patents and pending patent applications domestically and worldwide for certain private branded products, such as shredders, office chairs and writing instruments.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As of January 27, 2024, we had approximately 20,000 full-time and part-time employees from continuing operations as compared to 25,000 full-time and part-time employees as of January 28, 2023. The year-on-year change is mainly attributable to planned store closures and other cost reduction measures. We also utilize independent contractors and temporary personnel to supplement our workforce. Our key human capital management objectives are to attract, retain and develop talent to drive our strategy for long-term success.</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provides oversight on certain human capital management matters, including through its Compensation &amp; Talent Committee. The Compensation &amp; Talent Committee is responsible for overseeing and providing perspective on our strategies and policies including with respect to diversity and inclusion, pay equity, recruiting, retention, training and development, and workplace environment and safety consistent with our culture, objectives and strategy. At The ODP Corporation, we recognize the importance of supporting diversity and inclusion and are committed to promoting a safe, trusting environment where our associates, customers and vendors feel valued, respected and accepted. We are proud of the diversity within our Board of Directors, comprised of 42% female directors and 28% of directors who are people of color. Our total workforce is 42% female.</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Human capital engagement and development underpins our efforts to execute our strategy. Our approach to employee engagement is centered on fostering a safe workplace culture that respects and values differences and is inclusive. We achieve this by establishing a platform to regularly check-in and gauge employee engagement, utilizing the survey results and feedback to gain insights, identify strengths and areas of opportunity, and take actions to improve. To consistently promote engagement, we encourage employees to participate in Associate Resource Groups (“ARGs”). These employee-led groups focus on cultivating a sense of community, providing support, and fostering a culture of belonging and inclusivity. Currently, our 10 enterprise ARGs represent diverse dimensions of our workforce, actively contributing to a welcoming and inclusive environment and advocating for allyship and engagement within the groups, the organization, and the communities they support.</w:t>
      </w:r>
    </w:p>
    <w:p>
      <w:pPr>
        <w:spacing w:after="0" w:line="13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continue to invest in our employees’ career growth and provide employees with a range of personal and professional development opportunities through our enterprise learning platform, special projects, coaching and mentoring, and other avenues. Our enterprise culture programs, such as our ARGs, community outreach and philanthropic efforts provide additional opportunities for associates to expand their networks, skillsets and leadership competencies, contributing to their overall growth and well-being, leading to increased job satisfaction, motivation, and a positive work environment.</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 demonstrated history of investing in our workforce through comprehensive and competitive compensation and benefits, and a focus on employee health and well-being. A key component of our foundation is our 5C culture, which is built on five key cultural values: “customer,” “commitment,” “change,” “caring,” and “creativity.” Our 5C culture drives exceptional performance in everything we do. We focus on the skills and behaviors that matter most, shaping our culture through actions. Our 5C focus helps drive strong community support and focuses on sustainability, diversity, and environmental improvements, driving a stronger and more effective 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7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Our supply chain is managed by our Veyer Division. Refer to the “How we organize our business” section above for further information on our supply chain capabilities and resources. We believe that inventory held in our DCs is at levels sufficient to meet current and anticipated customer needs. Certain purchases are sent directly from the manufacturer, industry wholesaler or other primary supplier to our customers or retail stores. Some supply chain facilities and some retail locations also house sales offices, showrooms, and administrative offices supporting our contract sales channel.</w:t>
      </w:r>
    </w:p>
    <w:p>
      <w:pPr>
        <w:spacing w:after="0" w:line="1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December 30, 2023, we operated a total of 62 DCs and crossdock facilities from continuing operations in the United States and Canada. Including our satellite locations, we had over 90 facilities in our distribution network. Refer to “Properties” within Other Key Information for more details.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MERCHANDISING AND SERVICES</w:t>
      </w:r>
    </w:p>
    <w:p>
      <w:pPr>
        <w:spacing w:after="0" w:line="175"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Our merchandising and services strategy is to meet our customers’ needs by offering a broad selection of nationally branded office supply and adjacency products, as well as our own private branded products and services. The selection of our private branded products has increased in breadth and level of sophistication over time. We currently offer products under such labels, including Office Depot®, OfficeMax®, Foray®, Ativa®, TUL®, Realspace®, WorkPro®, Brenton Studio®, Highmark®, and Grand &amp; Toy®.</w:t>
      </w:r>
    </w:p>
    <w:p>
      <w:pPr>
        <w:spacing w:after="0" w:line="12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generally classify our offerings into four categories: (1) supplies, (2) technology, (3) furniture and other, and (4) copy and print. The supplies category includes products such as paper, writing instruments, office supplies, cleaning and breakroom supplies, personal protective equipment, and product subscriptions. The technology category includes products such as toner and ink, printers, computers, tablets and accessories electronic storage, and sales of third-party software, as well as technology support services offerings provided in our retail stores. The furniture and other category includes products such as desks, seating, luggage, gift cards, and warranties. The copy and print category includes offerings such as printing of business cards, banners, documents and promotional products, copying and photo services, and managed print and fulfillment services.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sales by offering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36"/>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Major revenue categories</w:t>
            </w:r>
          </w:p>
        </w:tc>
        <w:tc>
          <w:tcPr>
            <w:tcW w:w="16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Supplies</w:t>
            </w:r>
          </w:p>
        </w:tc>
        <w:tc>
          <w:tcPr>
            <w:tcW w:w="162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49.8 %</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48.8 %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45.1 %</w:t>
            </w:r>
          </w:p>
        </w:tc>
      </w:tr>
      <w:tr>
        <w:trPr>
          <w:trHeight w:val="238"/>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27.8 %</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32.6 %</w:t>
            </w:r>
          </w:p>
        </w:tc>
      </w:tr>
      <w:tr>
        <w:trPr>
          <w:trHeight w:val="243"/>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Furniture and other</w:t>
            </w:r>
          </w:p>
        </w:tc>
        <w:tc>
          <w:tcPr>
            <w:tcW w:w="162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14.1 %</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14.8 %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4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Copy and print</w:t>
            </w:r>
          </w:p>
        </w:tc>
        <w:tc>
          <w:tcPr>
            <w:tcW w:w="900" w:type="dxa"/>
            <w:vAlign w:val="bottom"/>
          </w:tcPr>
          <w:p>
            <w:pPr>
              <w:spacing w:after="0"/>
              <w:rPr>
                <w:sz w:val="21"/>
                <w:szCs w:val="21"/>
                <w:color w:val="auto"/>
              </w:rPr>
            </w:pPr>
          </w:p>
        </w:tc>
        <w:tc>
          <w:tcPr>
            <w:tcW w:w="162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8.3 %</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6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0"/>
                <w:szCs w:val="20"/>
                <w:color w:val="auto"/>
              </w:rPr>
            </w:pPr>
          </w:p>
        </w:tc>
        <w:tc>
          <w:tcPr>
            <w:tcW w:w="162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100.0 %</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buy substantially all of our merchandise through our Veyer Division directly from manufacturers, industry wholesalers, and other primary suppliers, and source our private branded products from domestic and offshore sources. We enter into arrangements with vendors that can lower our unit product costs if certain volume thresholds or other criteria are met. For additional discussion regarding these arrangements, refer to “Critical Accounting Policies” in MD&amp;A.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recent years, we have increasingly used global offerings across the regions to further reduce our product cost while maintaining product quality.</w:t>
      </w:r>
    </w:p>
    <w:p>
      <w:pPr>
        <w:spacing w:after="0" w:line="17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As part of our Veyer Division, we operate a global sourcing office in Shenzhen, China, which allows us to better manage our product sourcing, logistics and quality assurance. This office consolidates our purchasing power with Asian factories and, in turn, helps us to increase the scope of our own branded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regularly assess consumer shopping behaviors in order to refine our strategy and curate the desired product assortment, shopping environment and purchasing methods. Identifying the most desirable and effective way to reach our customers and allowing them to shop through whichever channel they prefer will continue to be a priority. These efforts have impacted the extent, format and vehicles we use to advertise to and reach customers, our web page design, promotions and product offerings.</w:t>
      </w:r>
    </w:p>
    <w:p>
      <w:pPr>
        <w:spacing w:after="0" w:line="1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Our marketing programs are designed to create and capture demand, drive frequency of customer visits, increase customer spend across product lines, and build brand awareness. We have shifted a meaningful amount of our marketing efforts in recent periods to digital programs that increase demand generation, enhance audience targeting and include the use of social media platforms and digital videos. We also continue to advertise through traditional outbound marketing vehicles such as e-mail, direct mail and catalogs.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 loyalty and other incentive programs provide our customers with rewards that can be applied towards future purchases or other incentives.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programs enable us to effectively market to our customers and may change as customer preferences shift.</w:t>
      </w:r>
    </w:p>
    <w:p>
      <w:pPr>
        <w:spacing w:after="0" w:line="15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We perform periodic competitive pricing analyses to monitor each market, and prices are adjusted as necessary to further our competitive positioning. We generally target our pricing to be competitive with other resellers of office products and providers of business services and technology solutions. Refer to “Industry and Competition” below for further information.</w:t>
      </w:r>
    </w:p>
    <w:p>
      <w:pPr>
        <w:spacing w:after="0" w:line="12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Our customer acquisition efforts regularly shift to vehicles and formats found to be most productive for reaching the targeted customer. We acquire customers through e-mail and social media campaigns, online affiliate connections, on-premises sales calls, outbound sales calls, and catalogs, among others. No single customer accounted for more than 10% of total consolidated sales or receivables in 2023, 2022 or 2021. Additionally, we believe that none of our business segments is dependent upon a single customer or a few customers, the loss of which would have a material adverse effect in our consolidated results of operations.</w:t>
      </w:r>
    </w:p>
    <w:p>
      <w:pPr>
        <w:sectPr>
          <w:pgSz w:w="11900" w:h="16838" w:orient="portrait"/>
          <w:cols w:equalWidth="0" w:num="1">
            <w:col w:w="11300"/>
          </w:cols>
          <w:pgMar w:left="320" w:top="768" w:right="279" w:bottom="1440" w:gutter="0" w:footer="0" w:header="0"/>
        </w:sectPr>
      </w:pP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4"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8"/>
          <w:szCs w:val="18"/>
          <w:color w:val="auto"/>
        </w:rPr>
        <w:t>Our business experiences a certain level of seasonality, with sales generally trending lower in the second quarter, following the “back-to-business” sales cycle in the first quarter and preceding the “back-to-school” sales cycle in the third quarter and the holiday sales cycle in the fourth quarter for our ODP Business Solutions and Office Depot Divisions. Certain working capital components may build and recede during the year reflecting established selling cycles. Business cycles can and have impacted our operations and financial position when compared to other periods.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environment. Our ODP Business Solutions and Office Depot Divisions compete with office supply stores, warehouse clubs, discount stores, mass merchandisers, independent dealers, wholesalers, online retailers, off-price retailers, food and drug stores, computer and electronics superstores and direct marketing companies. These companies compete with us in substantially all of our current markets. Increased competition in the office products markets, together with increased advertising, and Internet-based search tools, has heightened price awareness among end-users. Such heightened price awareness has led to sales and margin pressure on our office products categories and has impacted our results. In addition to price, we also compete based on customer service, the quality and extent of product selection and convenience. Other office supply retail companies market similarly to us in terms of store format, pricing strategy, product selection and product availability in the markets where we operate. Although we also compete through our private label offerings, some of our competitors are larger than us and have greater financial resources, which provide them with greater purchasing power, increased financial flexibility and more capital resources for expansion and improvement, which may enable them to compete more effectively. We anticipate that in the future we will continue to face high levels of competition from these companies.</w:t>
      </w:r>
    </w:p>
    <w:p>
      <w:pPr>
        <w:spacing w:after="0" w:line="8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believe our robust field sales forces, dedicated customer service associates and the efficiency and convenience for our customers position our ODP Business Solutions Division well to compete with other business-to-business office products distributors. We believe our Office Depot Division competes favorably against competitors based on convenience, location, the quality of our customer service, our store layouts, the range and depth of our merchandise offering and our pricing.</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Veyer Division competes externally with supply chain operators, and our Varis Division competes with other digital platform operations and procurement technologies. As we continue to work towards growing external sales of our Veyer Division and our Varis Division, how they compete in their respective industries is expected to be further defined.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2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We believe that ESG issues play an essential role in the long-term success of our Company, our industry, and our communities, both today and future generations. We are committed to conducting our business in a sustainable manner and maintain policies and procedures that form the foundation of our environmental responsibility program.</w:t>
      </w:r>
    </w:p>
    <w:p>
      <w:pPr>
        <w:spacing w:after="0" w:line="69"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Our sustainability initiatives are guided by a “triple bottom line” approach, which focuses on Planet (environmental), People (social) and Prosperity (economic). While the environmental and social aspects help us lower emissions, capture community impacts, and quantify various metrics, we also understand that they ultimately contribute to our success by generating greater business value.</w:t>
      </w:r>
    </w:p>
    <w:p>
      <w:pPr>
        <w:spacing w:after="0" w:line="6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Empowering our employees and suppliers at all levels to promote safe and environmentally responsible practices while focusing on initiatives such as the reduction of facility energy consumption, reduction in emissions in our private fleet, and minimizing the use of harmful chemicals is an integral part of our program. Our strategy includes priority goals such as science-based targets for greenhouse gas (“GHG”) emissions reduction, plastic reduction, and achieving Zero Waste in a significant percentage of our DCs.</w:t>
      </w:r>
    </w:p>
    <w:p>
      <w:pPr>
        <w:spacing w:after="0" w:line="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meet these goals, we have put in place a robust business management system to oversee initiatives, measure and report on key performance indicators, and adjust plans as necessary. Board oversight is a vital part of our governance model: the Corporate Governance &amp; Nominating Committee assumes responsibility for overseeing the Company’s strategy and programs related to corporate social responsibility, the environment, and sustainability. The Audit Committee reviews the Company’s controls and procedures over ESG disclosures, including related data and metrics, and legislative and regulatory developments, including changes to the SEC’s rules and regulations, affecting ESG disclosures within the financial reporting framework. The Compensation and Talent Committee oversees the Company’s strategies and policies related to human capital development matters, including diversity and inclusion, pay equity, recruiting, retention, training and development, and workplace environment and safety consistent with the Company’s culture and strategy, and reviews and discusses with management the Company’s disclosure related to human capital management to be included in the Company’s Annual Reports on Form 10-K.</w:t>
      </w:r>
    </w:p>
    <w:p>
      <w:pPr>
        <w:spacing w:after="0" w:line="7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Accomplishments are visible in our implementation of environmental programs aligned with our policy to “buy greener, be greener and sell greener.” We don’t merely focus on our operations but aim to help our customers achieve their sustainability goals as well by increasing the sales of high-quality, sustainable products with greener attributes. We provide reporting to our B2B customers to track performance.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commitment to transparency is reinforced through comprehensive disclosures in our annual Sustainability Report and on our website.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WHO MANAGES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regarding the executive officers of ODP.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Gerry P. Smith — Age: 60</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Smith was appointed to serve as our Chief Executive Officer and a Director in February 2017. Prior to joining us and since 2006, Mr. Smith was at Lenovo Group Limited (“Lenovo”) and previously served as Lenovo’s Executive Vice President and Chief Operating Officer since 2016 where he was responsible for all operations across Lenovo’s global product portfolio. Prior to assuming this role, also in 2016, Mr. Smith was Executive Vice President and President, Data Center Group. From 2015 to 2016, he served as Chief Operating Officer of the Personal Computing Group and Enterprise Business Group, and from 2013 to 2015 he served as President of the Americas. In these roles, Mr. Smith oversaw Lenovo’s fast-growing enterprise business worldwide and Lenovo’s overall business in the America’s region. Prior to that, Mr. Smith was President, North America and Senior Vice President, Global Operations of Lenovo from 2012 to 2013, and Senior Vice President of Global Supply Chain of Lenovo from 2006 until 2012 where he was responsible for end-to-end supply chain management. Prior to Lenovo, Mr. Smith held a number of executive positions at Dell Inc. from 1994 until 2006, as the company became a global leader in personal computers. Since August 2020, he serves on the Board of Directors of Arrow Electronics, Inc. and is the Chair of its Compensation Committee. In January 2022, Mr. Smith became a founding member of the Advisory Board for Zero100, a global coalition of CEOs, Chief Operations and Supply Chain Officers working to accelerate progress towards zero percent carbon, 100% digital supply chains.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Centrella — Age: 53</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Mr. Centrella was appointed to serve as our Executive Vice President and President of ODP Business Solutions in May 2022. Mr. Centrella joined the Company in 1998 and has over 30 years of experience in Finance, Merchandising, Sales and Sales Operations in various leadership roles during his tenure, including most recently as Sr. Vice President of FP&amp;A. Mr. Centrella is responsible for core B2B sales and operations across all customer segments and vertical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Sarah E. Hlavinka — Age: 59</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Ms. Hlavinka was appointed to serve as our Executive Vice President, Chief Legal Officer and Corporate Secretary in July 2022, and previously served as General Counsel of Office Depot, LLC from April 2022 to July 2022. Prior to joining The ODP Corporation, Ms. Hlavinka served as Senior Vice President, General Counsel and Corporate Secretary for Itron, Inc. Prior to Itron, Inc., she served in a similar role at Xerox and served in various legal roles in companies across a broad range of disciplines. Ms. Hlavinka has served on the Board of Directors of Quanterix Corporation since 2019 and is a member of its Corporate Governance and Audit Committees.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Max Hood — Age: 45</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Mr. Hood was appointed to serve as our Senior Vice President, Chief Accounting Officer &amp; Controller in February 2023. Mr. Hood joined us in 2018 as Vice President in Accounting, including oversight of Treasury between March 2021 and August 2022. Prior to joining us, Mr. Hood had several roles at GE between 2010 and 2018, with the latest being the Global Operations Controller for its Energy Connections division. Mr. Hood began his career at Deloitte &amp; Touche LLP as part of their Audit &amp; Assurance practice for nine years. Mr. Hood is also a Certified Public Accountant.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W. Gannfors — Age: 58</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Mr. Gannfors was appointed to serve as our Executive Vice President and President of Veyer in September 2022. He previously served as Executive Vice President and Chief Merchandising and Supply Chain Officer from August 2018 to September 2022. Mr. Gannfors served as Executive Vice President, Transformation, Strategic Sourcing and Supply Chain from July 2017 to August 2018, and as our Executive Vice President, Transformation and Strategic Sourcing when he joined the Company in April 2017. Prior to joining us, Mr. Gannfors served as Chief Procurement Officer at Lenovo, where he spent nearly ten years. Prior to assuming this role, Mr. Gannfors served in various leadership roles at Dell Inc. Mr. Gannfors began his career in Product Management at Lockheed Martin’s Calcomp division and Definicon Systems.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Zöe Maloney — Age: 51</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Ms. Maloney was appointed to serve as our Executive Vice President, Chief Human Resources Officer in November 2021. Ms. Maloney joined us in February 2005 and has more than 25 years of experience in communications, organization and leadership development, and human resources and held several executive management roles including serving as our Senior Vice President, Human Resources from April 2017 to October 2021; Vice President, Human Resources from August 2011 to April 2017; and Senior Director, Communications &amp; Engagement from 2010 to 2011. Prior to joining us, Ms. Maloney served in various management positions at Johnson &amp; Johnson, 3-Dimensional Pharmaceuticals, and CDI International.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Kevin Moffitt — Age: 50</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Mr. Moffitt was appointed to serve as our Executive Vice President and President of Office Depot in September 2022. He previously served as Executive Vice President, Chief Retail Officer from November 2018 to September 2022. Mr. Moffitt served as our Senior Vice President, Chief Retail Officer from January 2018 to November 2018; Senior Vice President, Chief Digital Officer in 2017; Senior Vice President, eCommerce &amp; Direct Business Unit Leader from 2016 to 2017; and as our Vice President, eCommerce Product Management and Customer Experience from 2012 to 2016. Prior to joining us, he held several leadership roles at Dillard’s Department Stores, Circuit City Stores and Putnam Investments.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Anthony Scaglione — Age: 51</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Scaglione was appointed to serve as our Executive Vice President, Chief Financial Officer in July 2020. Prior to joining the Company, Mr. Scaglione served as Executive Vice President and Chief Financial Officer at ABM Industries Incorporated (“ABM”), where he was responsible for all financial, M&amp;A, IT, tax, enterprise services and procurement functions from 2015 to 2020. Mr. Scaglione joined ABM as Vice President &amp; Treasurer in 2009, and was Senior Vice President, Treasurer, Mergers &amp; Acquisitions from 2012 to 2015. Prior to joining ABM, Mr. Scaglione held executive finance positions at CA Technologies from 2005 to 2009. Prior to CA Technologies, Mr. Scaglione served as a manager with Ernst &amp; Young from 2001 to 2005.</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KEY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us and our industry could materially impact our business, financial condition, results of operations, cash flows and future performance and results. You should carefully consider the risks described below in our subsequent periodic filings with the SEC. The following risk factors should be read in conjunction with MD&amp;A and Notes to Consolidated Financial Statements of this Annual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Macroeconomic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have and may continue to adversely affect our business and financial performance.</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operating results and performance depend significantly on economic conditions and their impact on business and consumer spending. In the past, the decline in business and consumer spending has caused our comparable retail store sales, sales on our eCommerce platform, and ODP BSD sales to decline from prior periods. The global macroeconomic outlook continues to remain uncertain due to a variety of factors, including geopolitical instability, labor shortages, supply chain disruptions, fuel costs, and inflation related to increased occupancy, raw materials and other costs, and the impacts of the COVID-19 pandemic may continue, all of which may continue to exacerbate many of the other risks described in this “Risk Factors” section, any of which could have a material effect on us. Our business and financial performance may continue to be adversely affected by current and future economic conditions, including, without limitation, the level of consumer debt, high levels of unemployment, higher interest rates and the ability of our customers to obtain credit, which may cause a continued or further decline in business and consumer spending. In addition, a weaker U.S. economy, higher unemployment and/or inflation on essential goods will materially impact consumer spending. Decreased foot traffic at our stores and declining financial performance of or product demand from our business customers has and will continue to adversely impact future sales.</w:t>
      </w:r>
    </w:p>
    <w:p>
      <w:pPr>
        <w:spacing w:after="0" w:line="13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COVID-19 pandemic has had widespread impacts on global society, economies, financial markets and consumer and business spending. Given that businesses still continue remote and hybrid working arrangements, this has impacted and will continue to impact our business and the demand for our products, particularly for our business units which serve business customers.</w:t>
      </w:r>
    </w:p>
    <w:p>
      <w:pPr>
        <w:spacing w:after="0" w:line="11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failure to adequately differentiate ourselves or respond to shifting consumer demands could continue to adversely impact our financial performance.</w:t>
      </w:r>
    </w:p>
    <w:p>
      <w:pPr>
        <w:spacing w:after="0" w:line="1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office products market is highly competitive and we compete locally, domestically and internationally with office supply resellers, including Staples, Internet-based companies such as Amazon.com, mass merchandisers such as Walmart and Target, wholesale clubs such as Costco, Sam’s Club and BJs, computer and electronics superstores such as Best Buy, food and drug stores, discount stores, and direct marketing companies. Some competitors may offer a broader assortment of products or have more extensive e-commerce channels, while others have substantially greater financial resources to devote to sourcing, marketing and selling their products. The ability of consumers to compare prices on a real-time basis using digital technology puts additional pressure on us to maintain competitive pricing. In addition, consumers are utilizing more technology and purchasing less paper, ink and toner, physical file storage and general office supplies. In order to achieve and maintain expected profitability levels, we must continue to grow by adding new customers and taking market share from competitors. If we are not able to compete effectively, it could negatively affect our business and results of operations.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Consumers and businesses continue to focus on delivery services, with customers increasingly seeking faster, guaranteed delivery times and low-price or free shipping. Our ability to be competitive on delivery times and delivery costs depends on many factors, and our failure to successfully manage these factors and offer competitive delivery options could negatively impact the demand for our products and our profit margins. Because our business strategy is based on offering superior levels of customer service and a full range of services to complement the products we offer, our cost structure might be higher than some of our competitors, and this, in conjunction with price transparency, could put pressure on our margins.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are subject to fluctuation due to the seasonality of our business.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experiences a certain level of seasonality with sales generally trending lower in the second quarter, following the “back-to-business” sales cycle in the first quarter and preceding the “back-to-school” sales cycle in the third quarter and the holiday sales cycle in the fourth quarter. As a result, our operating results have fluctuated from quarter to quarter in the past, with sales and profitability being generally stronger in the second half of our fiscal year than the first half of our fiscal year. Factors that could also cause these quarterly fluctuations include: the pricing behavior of our competitors; the types and mix of products sold; the level of advertising and promotional expenses; severe weather; global pandemic; macroeconomic factors that affect consumer confidence and spending; and the other risk factors described in this section. Most of our operating expenses, such as occupancy costs and associate salaries, are not variable, and so short-term adjustments to reflect quarterly results are difficult. As a result, if sales in certain quarters are significantly below expectations, we may not be able to proportionately reduce operating expenses for that quarter, and therefore such a sales shortfall would have an adverse effect on our net income for the quarter.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fuel and other commodity prices could have an adverse impact on our earnings.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a large network of retail stores, distribution centers, and delivery vehicles. As such, we purchase significant amounts of fuel needed to transport products to our retail stores and customers as well as shipping costs to import products from overseas. Additionally, the performance of certain of our divisions is dependent upon market conditions in the transportation and logistics industry, including fluctuations in fuel costs. While we may hedge our anticipated fuel purchases, the underlying commodity costs associated with this transport activity is beyond our control and may be volatile. Recently, the supply and availability of fuel in markets in which we operate have experienced increased volatility and have led to changes in fuel prices. Disruptions in availability of fuel or future increases in the price of fuel could cause our operating costs to rise significantly to the extent not covered by our hedges and could have a negative impact on our ability to operate our transportation networks. Additionally, other commodity prices, such as paper, may increase and we may not be able to pass along such costs to our customers. Fluctuations in the availability or cost of our energy and other commodity prices could have a material adverse effect on our profitability.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transportation costs and changes in the relationships with independent shipping companies may have an adverse effect on our business.</w:t>
      </w:r>
    </w:p>
    <w:p>
      <w:pPr>
        <w:spacing w:after="0" w:line="17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 rely upon third-party carriers for timely delivery of certain product shipments. As a result, we are subject to carrier disruptions and increased costs due to factors that are beyond our control, including employee strikes, labor organization, inclement weather and increased labor and fuel costs. Any failure to deliver products to our customers in a timely and accurate manner may damage our reputation and brand and may cause us to lose customers. If our relationship with any of these third-party carriers is terminated or impaired, or if any of these third parties are unable to ship products for us, we would be required to use alternative, and possibly more expensive, carriers for the shipment of products. We may be unable to engage alternative carriers on a timely basis or on terms favorable to us, if at all, which may have an adverse effect on our results of operations, financial condition and cash flows. Changes in shipping terms, or the inability of these third-party shippers to perform effectively (whether as a result of mechanical failure, casualty loss, labor stoppage, insolvency, or any other reason), may have an adverse effect on our results of operations, financial condition and cash flows. Additionally, deterioration of the financial condition of these third-party carriers may have an adverse effect on our shipping costs. Any future increases in shipping rates may have an adverse effect on our results of operations, financial condition and cash flows, particularly if we are unable to pass on these higher costs to our customers.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could adversely affect our operating results.</w:t>
      </w:r>
    </w:p>
    <w:p>
      <w:pPr>
        <w:spacing w:after="0" w:line="17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risk or actual occurrence of one or more catastrophic events could have a material adverse effect on our financial performance. Such events may be caused by, for example:</w:t>
      </w:r>
    </w:p>
    <w:p>
      <w:pPr>
        <w:spacing w:after="0" w:line="109"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extreme weather events such as climate change, hurricanes, tornadoes, floods and earthquakes;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diseases, epidemics or pandemics (such as the COVID-19 pandemic) that may affect our employees, customers or partners;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floods, fire or other catastrophes affecting our properties;</w:t>
      </w:r>
    </w:p>
    <w:p>
      <w:pPr>
        <w:spacing w:after="0" w:line="170" w:lineRule="exact"/>
        <w:rPr>
          <w:rFonts w:ascii="Times New Roman" w:cs="Times New Roman" w:eastAsia="Times New Roman" w:hAnsi="Times New Roman"/>
          <w:sz w:val="18"/>
          <w:szCs w:val="18"/>
          <w:color w:val="auto"/>
        </w:rPr>
      </w:pPr>
    </w:p>
    <w:p>
      <w:pPr>
        <w:ind w:left="760" w:right="4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Russia-Ukraine conflict, the conflict in the Middle East, terrorism or cyberterrorism, geopolitical tensions in China, civil unrest or other conflicts; or</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power outages.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COVID-19 pandemic has had, and may continue to have, a material adverse impact on our business and results of operations. Such catastrophic events could result in physical damage to, or complete loss of, one or more of our properties, the closure of one of more stores, the lack of an adequate work force in the market, changes in the purchasing patterns of consumers (including the frequency of visits by consumers to physical retail locations, whether as a result of limitations on large gatherings, travel and movement limitations or otherwise) and in consumers’ disposable income, the temporary or long-term disruption in the supply of products from some suppliers, the disruption in the transport of goods from overseas, the disruption or delay in the delivery of goods to our distribution and fulfillment centers or stores within the country, the reduction in the availability of products in our stores and can disrupt or disable portions of our supply chain and distribution network. They can also affect our information systems, resulting in disruption to various aspects of our operations, including our ability to transact with customers and fulfill orders.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the long-term impacts of climate change, whether involving physical risks (such as extreme weather conditions) or transition risks (such as regulatory or technology changes) are expected to be widespread and unpredictable. These changes over time could affect, for example, the availability and cost of certain consumer products, commodities and energy (including utilities), which in turn may impact our ability to manufacture or procure certain goods required for the operation of our business at the quantities and levels we require. Additionally, any initiatives to mitigate the effect of climate change may be cost prohibitive. As a consequence of these or other catastrophic events, we may endure interruption to our operations or losses of property, equipment or inventory, which would adversely affect our revenue and profitability. For example, hurricanes can disrupt operations in the southeastern United States and the Gulf Coast region where a heavy concentration of our customers are located, and negatively impact sales in both our ODP Business Solutions and Office Depot Divisions or operations of our Veyer unit. Moreover, current or future insurance arrangements may be subject to deductibles and/or not provide protection for costs that may arise from such events, particularly if such events are catastrophic in nature or occur in combination.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re-alignment of our operating and reporting structure into four business units may not result in the anticipated benefits.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recently undergone a re-alignment of its business to four operating divisions. We may not realize, in full or in part, the anticipated benefits and improvements in our operations from our strategic business transformation due to unforeseen difficulties, delays or unexpected costs. If we are not able to effectively execute on our strategic business transformation, we may not be able to offer attractive value-added services to our customers or capture greater market share. We may have limited experience in our newer market segments, and our customers may not adopt our product or service offerings. These offerings, which can present new and difficult technology challenges, may subject us to claims if customers of these offerings experience, or are otherwise impacted by, service disruptions, delays, setbacks, or failures or quality issues. In addition, profitability, if any, in our newer activities may not meet our expectations, and we may not be successful enough in these newer activities to recoup our investments in them, which investments are significant. Failure to realize the benefits of amounts we invest in new technologies, products, or services could result in the value of those investments being written down or written off. In addition, our strategic business transformation may be disruptive to our existing operations and, among other things, implementing our new business plan will require significant managerial attention, which may be diverted from our other operations. If we are unable to realize the expected operational efficiencies and scaling benefits from the re-alignment, our business, financial condition and operating results may be adversely affected.</w:t>
      </w:r>
    </w:p>
    <w:p>
      <w:pPr>
        <w:spacing w:after="0" w:line="12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focus on new business offerings exposes us to certain risks and requires significant continued investment that could have a material adverse impact on our revenue and profitability as well as our reputation.</w:t>
      </w:r>
    </w:p>
    <w:p>
      <w:pPr>
        <w:spacing w:after="0" w:line="10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Our transformation into an integrated distribution platform of business services and products, including supply chain, distribution, procurement, global sourcing and our new digital procurement platform can differentiate us from many of our competitors and provide an opportunity to deliver superior customer service while generating additional revenue and profit. However, designing, marketing and executing these services successfully and consistently is subject to risks. These risks include, for example:</w:t>
      </w:r>
    </w:p>
    <w:p>
      <w:pPr>
        <w:spacing w:after="0" w:line="12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expense to fulfill our customer promises, which may be higher than the related revenue;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marketplace;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brand recognition;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continued investment of our technology and infrastructure.</w:t>
      </w:r>
    </w:p>
    <w:p>
      <w:pPr>
        <w:spacing w:after="0" w:line="17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ensure a continuing and timely introduction of innovative new products, services and technologies to the marketplace. If we are unable to pivot into a more business services-driven platform and sell innovative new products, our ability to gain a competitive advantage could be adversely affected.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These expanded risks increase the complexity of our business and places significant responsibility on our management, employees, operations, systems, technical expertise, financial resources, and internal financial and regulatory control and reporting functions. In addition, new initiatives we test through trials and pilots may not scale or grow effectively or as we expected, which could limit our growth and negatively affect our operating results. In order to continue to grow external sales, we continue to invest significant resources in developing new technology and capabilities to meet customers’ needs. The growth of these initiatives may also expose us to laws or regulations that are beyond our current expertise.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refine and execute our business strategies, our operating performance could be significantly impacted.</w:t>
      </w:r>
    </w:p>
    <w:p>
      <w:pPr>
        <w:spacing w:after="0" w:line="17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Our ability to both refine our operating and strategic plans and execute the business activities associated with our refined plans, including cost savings initiatives, could impact our ability to meet our operating performance targets.</w:t>
      </w:r>
    </w:p>
    <w:p>
      <w:pPr>
        <w:spacing w:after="0" w:line="1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business strategy also includes making acquisitions and investments that complement our existing business as well as strategic divestitures to maximize value. These acquisitions and investments or divestitures could be unsuccessful or consume significant resources, which could adversely affect our operating results.</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achieve the benefits we anticipate from acquisitions we make will depend in large part upon whether we are able to leverage the capabilities of the acquired companies to grow revenue across our combined organization, manage the acquired company’s business, execute our strategy in an efficient and effective manner, integrate the acquired business effectively and realize anticipated cost synergies. In addition, private companies recently acquired which were previously not subject to Section 404 of the Sarbanes-Oxley Act of 2002 (“SOX”), may lack certain internal controls, which could ultimately affect our ability to ensure compliance with the requirements of SOX.</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Because our business and the business of acquired companies may differ operationally, we may not be able to effectively manage or oversee the operations of the acquired company’s business smoothly or successfully and the process of achieving expected revenue growth and cost synergies may take longer than expected. If we are unable to successfully manage the operations of the acquired company’s business, we may be unable to realize the revenue growth, cost synergies and other anticipated benefits we expect to achieve as a result of the acquisition.</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our business strategy may contemplate divestitures of certain business units, we may not be able to complete these divestitures on terms favorable to us, on a timely basis, or at all. Furthermore, desired or proposed divestitures of business units may not meet all of our strategic objectives or our growth or profitability targets. Our divestiture activities, or related activities such as reorganizations, restructuring programs and transformation initiatives, may require us to recognize impairment charges or to take action to reduce costs that remain after we complete a divestiture. Gains or losses on the sales of, or lost operating income from those businesses may also affect our profitability.</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the expected benefits of our strategic initiatives, including announced or potential future restructuring and transformation efforts.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operate more efficiently and control costs, we recently announced our plans to make organizational restructuring changes to enhance operating results and increase shareholder returns. These plans include cost improvement actions across our entire enterprise, including our Varis Division, and optimizing our organizational structure to support future growth of our business. In addition, we began a strategic review of our Varis Division, which we expect to conclude by early May 2024. The failure to efficiently execute such initiatives as part of our business strategy could minimize the expected benefits to the organization resulting in potential impacts to ongoing operations and cost overruns.</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our ability to achieve the benefits from these initiatives within the expected time frame is subject to many estimates and assumptions and other factors that we may not be able to control. We may also incur significant charges related to restructuring plans, which would reduce our profitability in the periods such charges are incurred.</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complexities inherent in implementing these types of cost reduction and restructuring activities, and the quarterly phasing of related investments, we may fail to realize expected efficiencies and benefits, such as the expected level of annual savings as a result of cost improvement actions, or may experience a delay in realizing such efficiencies and benefits, and our operations and business could be disrupted. Company management may be required to divert their focus to managing these disruptions.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and could have a material adverse effect on our sales growth and other results of operations, cash flows or financial condition, or competitive position.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qualified personnel could have an adverse impact on our business.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performance is highly dependent on attracting, retaining and engaging appropriately qualified employees in our retail stores, distribution centers, field and corporate offices. The market for qualified employees, with the right talent and competencies, is highly competitive. Factors that affect our ability to maintain sufficient numbers of qualified employees include employee morale, our reputation, unemployment rates, competition from other employers, availability of qualified personnel and our ability to offer appropriate compensation and benefits packages. We operate in a competitive labor market and there is a risk that market increases in compensation and benefits costs could have a material adverse effect on our profitability. Failure to recruit or retain qualified employees, and the inability to keep our supply of skills and resources in balance with customer demand, may impair our efficiency and effectiveness, our ability to pursue growth opportunities and adversely affect our results of operations. In addition, a significant amount of turnover of our executive team or other employees in key positions with specific knowledge relating to us, our operations and our industry, may negatively impact our operations.</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on our executive management team and other key personnel, and the inability to recruit and retain certain personnel could adversely affect our performance and result in the loss of management continuity and institutional knowledge. From time to time, there may be changes in our senior management team resulting from the termination or departure of executives. In September 2023, we announced that Mr. Smith, our CEO, was taking a medical leave of absence, and Joseph S. Vassalluzzo, non-executive Chairman of our Board of Directors, would assume Mr. Smith’s authority and responsibilities until Mr. Smith’s return from medical leave. Although Mr. Smith has resumed his duties and responsibilities as of February 1, 2024, the loss of the services of our senior management, particularly Mr. Smith, or other key employees for any reason could significantly delay or prevent the achievement of our development and strategic objectives and harm our business, financial condition and results of operations.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certain members of our executive team have entered into agreements relating to their employment with us, most of our key personnel are not bound by employment agreements, and those with employment or retention agreements are bound only for a limited period of time and enforceability of the non-compete provisions of those employment agreements is declining. If we are unable to retain our key personnel or restrict the manner in which they may be employed by our competitors, we may be unable to successfully develop and implement our business plans, which may have an adverse effect on our business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maintain a relevant experience for our customers, our results of operations could be adversely affected.</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With the increasing use of digital technology to shop in our retail stores and online, we rely on our omni-channel capabilities to provide a seamless shopping experience to our customers and to keep pace with new developments by our competitors. If we are unable to attract and retain team members or contract third parties with the specialized skills needed to support our omni-channel platforms or are unable to implement improvements to our customer-facing technology in a timely manner, our ability to compete and our results of operations could be adversely affected. In addition, if our website and our other customer-facing technology systems do not function as designed, the customer experience could be negatively affected, resulting in a reduction of the amount of traffic in our stores, a loss of customer confidence and satisfaction, and lost sales, which could adversely affect our reputation and results of operations.</w:t>
      </w:r>
    </w:p>
    <w:p>
      <w:pPr>
        <w:spacing w:after="0" w:line="13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Moreover, changes in customer preferences have reduced, and may continue to reduce, demand for our products and services in certain markets. If we fail to manage changes in our relationships with our long-term customers, it may have an adverse effect on our financial results.</w:t>
      </w:r>
    </w:p>
    <w:p>
      <w:pPr>
        <w:spacing w:after="0" w:line="10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Many end markets are experiencing changes due to technological progress, an evolving workplace and changes in customer preferences. In order to grow and remain competitive, we will need to continue to adapt to future changes in technology, enhance our existing offerings and introduce new offerings to address the changing demands of customers. If we are unable to continue to utilize new and existing technologies to adapt to new distribution methods and address changing customer preferences, our business may be adversely affected.</w:t>
      </w:r>
    </w:p>
    <w:p>
      <w:pPr>
        <w:spacing w:after="0" w:line="1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Technological developments and changing demands of customers may require additional investment in new equipment and technologies. We must monitor changes in markets and develop new solutions to meet customers’ needs, otherwise we may not be able to keep or grow our customer base. The development of such solutions may be costly and there is no assurance that these solutions will be accepted by our customers. If we are unable to adapt to technological changes on a timely basis or at an acceptable cost, customers’ demand for our products and services may be adversely affected.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7"/>
          <w:szCs w:val="17"/>
          <w:color w:val="auto"/>
        </w:rPr>
        <w:t>There can be no assurance that our customers will continue to purchase our products in the same mix or quantities or on the same terms as in the past. The loss of or disruptions related to customers may result in a reduction in sales or change in the mix of products we sell to our customers. This may adversely affect our results of operations, financial condition and cash flows. Additionally, disputes with significant suppliers, including those related to pricing or performance, may adversely affect our ability to supply products to our customers and also our results of operations, financial condition and cash 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retained responsibility for liabilities of acquired companies that may adversely affect our financial results.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OfficeMax sponsors defined benefit pension plans covering certain terminated employees, vested employees, retirees, and some active employees (the “Pension Plans”). The Pension Plans are frozen and do not allow new entrants; however, they are under-funded, and we may be required to make contributions in subsequent years in order to maintain required funding levels. Required future contributions could have an adverse impact on our cash flows and our financial results. Additional future contributions to the Pension Plans, financial market performance and Internal Revenue Service (“IRS”) funding requirements could materially change these expected payments.</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the sale of our business in Europe, we have retained responsibility for the defined benefit plan covering certain employees in the United Kingdom. In July 2023, in accordance with applicable UK pension regulations, Trustees of the UK pension plan entered into an agreement with an insurer for the bulk annuity purchase of the plan, covering 100% of the plan’s members. This agreement, or buy-in, resulted in an exchange of plan assets for an annuity that covers the plan’s future projected benefit obligations. The benefit obligation was not transferred to the insurer, and we remain responsible for paying pension benefits until a buy-out of the plan is completed, which is expected to occur in 2025. However, should an unexpected issue arise, or the buy-out cannot be completed, there could be consequences which adversely impact our results of operations, financial position and cash flows. In addition, as part of the European business sale transaction, the purchaser shall indemnify and hold us harmless in connection with any guarantees in place as of September 23, 2016, and given by us in respect of the liabilities or obligations of the European business. Further, if the purchaser wishes to terminate any such guarantee or cease to comply with any underlying obligation which is subject to such a guarantee, the purchaser shall obtain an unconditional and irrevocable release of the guarantee. However, we are contingently liable in the event of a breach by the purchaser of any such obligation.</w:t>
      </w:r>
    </w:p>
    <w:p>
      <w:pPr>
        <w:spacing w:after="0" w:line="137"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 connection with OfficeMax’s sale of its paper, forest products and timberland assets in 2004, OfficeMax agreed to assume responsibility for certain liabilities of the businesses sold. These obligations include liabilities related to environmental, asbestos, health and safety, tax, litigation and employee benefit matters. Some of these retained liabilities could turn out to be significant, which could have an adverse effect on our results of operations. Our exposure to these liabilities could harm our ability to compete with other office products distributors who would not typically be subject to similar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impairment charges and we continue to incur impairment charges.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regularly assess past performance and make estimates and projections of future performance at an individual store and reporting unit level. Reduced sales, our shift in strategy to be less price promotional, as well as competitive factors and changes in consumer spending habits resulted in a downward adjustment of anticipated future cash flows for the individual retail stores that resulted in the impairment. We continue to foresee challenges in the market and economy that could adversely impact our operations. To the extent that forward-looking sales and operating assumptions are not achieved and are subsequently reduced, or if we implement an aggressive store downsizing program in the future, additional impairment charges may result. We have also recognized impairment charges on retail store related assets, including operating lease right-of-use (“ROU”) assets, that were deemed unrecoverable based on prior restructuring programs, including the current Maximize B2B program and a goodwill impairment in our Varis Division. In addition, asset impairments may be recognized based on future decisions and conditions as we continually evaluate the performance of our business units.</w:t>
      </w:r>
    </w:p>
    <w:p>
      <w:pPr>
        <w:spacing w:after="0" w:line="13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Changes in the numerous variables associated with the judgments, assumptions and estimates we make, in assessing the appropriate valuation of our goodwill and other intangible assets of our reporting units, including changes resulting from macroeconomic, or disposition of components within reporting units, could in the future require a reduction of goodwill and recognition of related non-cash impairment charges. If we were required to further impair our store assets, our goodwill or intangible assets of our reporting units, it could have a material adverse effect on our business and results of operations.</w:t>
      </w:r>
    </w:p>
    <w:p>
      <w:pPr>
        <w:spacing w:after="0" w:line="11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In addition, if we experience a decline in our market capitalization in the future, and if the decline becomes sustained or future declines in macroeconomic factors or business conditions occur, we could incur impairment charges in future periods.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effectively manage our real estate portfolio may negatively impact our operating results.</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Effective management of our real estate portfolio is critical to our omni-channel strategy. Most of our properties are subject to long-term leases. As such, it is essential that we effectively evaluate a range of factors that may influence the success of our long-term real estate strategy. Such factors include but are not limited to:</w:t>
      </w:r>
    </w:p>
    <w:p>
      <w:pPr>
        <w:spacing w:after="0" w:line="123"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patterns of customer consumption and behavior, particularly in light of an evolving omni-channel environment;</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number of retail stores in our portfolio;</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formats and sizes of our retail stores;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locations of our retail stores;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interior layouts of our retail stores;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area demographics and economic data of each of our retail stores;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local competitive positioning in and around our retail stores;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term lease commitment for each retail store;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lease option coverage for each retail store;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occupancy cost of our retail stores relative to market rents;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network strategy;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network of service locations.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consequences for failure to effectively evaluate these factors or negotiate appropriate terms or anticipate changes could include:</w:t>
      </w:r>
    </w:p>
    <w:p>
      <w:pPr>
        <w:spacing w:after="0" w:line="171"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close retail stores and abandon the related assets, while retaining the financial commitments of the leases;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 costs to remodel or transform our retail stores;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retail stores, supply chain or service locations that no longer meet the needs of our business;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bearing excessive lease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consequences could have a materially adverse impact on our profitability, cash flows and liquidity.</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leased property, the financial impact of exiting a location varies greatly depending on, among other factors, the terms of the lease, the condition of the local real estate market, demand for the specific property, our relationship with the landlord and the availability of potential sub-lease tenants. It is difficult for us to influence some of these factors, and the costs of exiting a property can be significant. In addition to rent, we are still responsible for the maintenance, taxes, insurance and common area maintenance charges for vacant properties until the lease commitment expires or is terminated. Similarly, when we enter into a contract with a tenant to sub-lease property, we usually retain our obligations as the master lessor. This leaves us at risk for any remaining liability in the event of default by the sub-lease tenant.</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a significant amount of business with government entities, various purchasing consortiums, and through sole- or limited- source distribution arrangements, and loss of this business could negatively impact our results.</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One of our largest customer groups consists of various governmental entities, government agencies and non-profit organizations, such as purchasing consortiums. Contracting with U.S. state and local governments is highly competitive and complex, subject to federal and state procurement laws, requires more restrictive contract terms and compliance measures, and can be expensive and time-consuming. Violations of these laws and regulations and/or inadvertent non-compliance with complex contractual terms or disagreements regarding interpretations of those terms could result in liabilities, fines, criminal sanctions, the inability to participate in existing or future government contracting and other administrative sanctions. Any such penalties could result in damage to the Company’s reputation, increased costs of compliance and/or remediation and could adversely affect the Company’s financial condition and results of operations. Moreover, bidding on government contracts often requires that we incur significant upfront time and expense without any assurance that we will win a contract. Our ability to compete successfully for and retain business with federal, state and local governments is highly dependent on cost-effective performance. Our business with governmental entities and agencies is also sensitive to changes in national and international priorities and their respective budgets, which in the current economy continue to decrease.</w:t>
      </w:r>
    </w:p>
    <w:p>
      <w:pPr>
        <w:spacing w:after="0" w:line="13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also service a substantial amount of business through agreements with purchasing consortiums and other sole- or limited-source distribution arrangements. If we are unsuccessful in retaining these customers, or if there is a significant reduction in sales under any of these arrangements, it could adversely impact our business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our reputation and brand at a high level, may adversely impact our financial performance.</w:t>
      </w:r>
    </w:p>
    <w:p>
      <w:pPr>
        <w:spacing w:after="0" w:line="175"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Effective marketing efforts play a crucial role in maintaining our reputation to attract new customers and retain existing customers. Failure to execute effective marketing efforts or misjudgment of consumer responses to our existing or future promotional activities, may adversely impact our financial performance.</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an inability to achieve our omni-channel goals, including providing an e-commerce and delivery experience that meets the expectations of consumers; failure of our cybersecurity measures to protect against data breaches; product liability and product recalls; social media activity; perception of engaging in politicized or controversial issues; failure to comply with applicable laws and regulations; and any of the other risks enumerated in these risk factors. In addition, information concerning us, whether or not true, may be instantly and easily posted on social media platforms at any time, which information may be adverse to our reputation or brand. The harm may be immediate without affording us an opportunity for redress or correction. If our reputation or brand is damaged, our customers may refuse to continue shopping with us, potential employees may be unwilling to work for us, business partners may be discouraged from seeking future business dealings with us and, as a result, our operations and financial results may suffer.</w:t>
      </w:r>
    </w:p>
    <w:p>
      <w:pPr>
        <w:spacing w:after="0" w:line="132"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Veyer and Varis, as developing business units, have different branding and reputational requirements. The failure to identify and execute effective marketing and branding could adversely affect a new business disproportionately compared to well-known brands in the ability to attract new customers and in turn, drive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exclusive brand products are subject to several additional product, supply chain and legal risks that could affect our operating results.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sell a substantial number of products under our own brands including Office Depot®, OfficeMax® and other proprietary brands where we are the importer of record. While we have focused on the quality of our proprietary branded products, we rely on third parties to manufacture these products. Such third-party manufacturers may prove to be unreliable, the quality of our globally sourced products may vary from our expectations and standards, such products may not meet applicable regulatory requirements which may require us to recall those products, or such products may infringe upon the intellectual property rights of third parties. The manufacturers and related factories of these products may fail to comply with global social responsibility regulations. As the importer of record and private labeler, there are increased regulatory reporting and compliance risks, including customs compliance, global social responsibilities, country of origin, chemical compliance, product liability, advertising and labeling. Though we seek indemnities from the manufacturers of these products, the uncertainty of realization of any such indemnity and the lack of understanding of U.S. laws in certain foreign jurisdictions make it more likely that we may have to respond to claims or complaints from our customers.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the actions of and risks related to the activities of our third-party vendors.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purchase products for resale under credit arrangements with our vendors and have been able to negotiate payment terms that are approximately equal in length to the time it takes to sell the vendor’s products. When the global economy is experiencing weakness as it has in the past, vendors may seek credit insurance to protect against non-payment of amounts due to them. If we experience declining operating performance and severe liquidity challenges, vendors may demand that we accelerate our payment for their products or require cash on delivery, which could have an adverse impact on our operating cash flow and result in severe stress on our liquidity. Borrowings under our existing credit facility could reach maximum levels under such circumstances, causing us to seek alternative liquidity measures, but we may not be able to meet our obligations as they become due until we secure such alternative measures.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 and resell many manufacturers’ branded items and services. We rely on key vendors who may have a large market share of the categories of products and services that we resell in order to provide best in class solutions to our customers. As a result, we are dependent on the availability and pricing of key products and services, including but not limited to ink, toner, paper and technology products and key vendors could change their business strategies or models and no longer offer products or services of value to our customers. As a reseller, we cannot control the supply, design, function, cost or vendor-required conditions of sale of many of the products we offer for sale. Disruptions in the availability of these products or the products and services we provide to our customers coupled with our inability to quickly pivot and find new products and services to our portfolio of offerings may adversely affect our sales and result in customer dissatisfaction. Further, we cannot control the cost of manufacturers’ products, and cost increases must either be passed along to our customers or will result in erosion of our earnings.</w:t>
      </w:r>
    </w:p>
    <w:p>
      <w:pPr>
        <w:spacing w:after="0" w:line="13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7"/>
          <w:szCs w:val="17"/>
          <w:color w:val="auto"/>
        </w:rPr>
        <w:t>Failure to identify desirable products and make them available to our customers when desired and at attractive prices could have an adverse effect on our business and our results of operations. In addition, a material interruption in service by the carriers that ship goods within our supply chain may adversely affect our sales. Many of our vendors are small or medium-sized businesses which are impacted by current macroeconomic conditions, both in the U.S., Asia and other locations. We may have no warning before a vendor fails, which may have an adverse effect on our business and results of operations.</w:t>
      </w:r>
    </w:p>
    <w:p>
      <w:pPr>
        <w:spacing w:after="0" w:line="1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engage key third-party business partners to support various functions of our business, including but not limited to, information technology, web hosting and cloud-based services, human resource operations, customer loyalty programs, gift cards, customer warranty, delivery and installation, technical support, transportation and insurance programs. Any material disruption in our relationship with key third-party business partners or any disruption in the services or systems provided or managed by third parties, including as a result of denial-of-service, ransomware or other cyber attacks, could impact our revenues and cost structure and hinder our operations, particularly if a disruption occurs during peak revenue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safety and quality concerns could have a material adverse impact on our revenue and profitability.</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products we sell fail to meet applicable safety standards or our customers’ expectations regarding safety and quality, we could be exposed to increased legal risk and our reputation may be damaged. Failure to take appropriate actions in relation to product recalls could lead to breaches in laws and regulations and leave us susceptible to government enforcement actions or private litigation. Recalls of products, particularly when combined with lack of available alternatives or our difficulty in sourcing sufficient volumes of replacement products, could also have a material adverse impact on our revenue and profitability.</w:t>
      </w:r>
    </w:p>
    <w:p>
      <w:pPr>
        <w:spacing w:after="0" w:line="12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global sourcing activities, evolving foreign trade policy (including tariffs imposed on certain foreign made goods) could negatively impact the cost and availability of our products and services.</w:t>
      </w:r>
    </w:p>
    <w:p>
      <w:pPr>
        <w:spacing w:after="0" w:line="1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Economic and civil unrest in areas of the world where we source products and services, as well as shipping and dockage issues, could adversely impact the availability or cost of our products and services, or both. Most of our goods imported to the U.S. arrive from Asia through ports located on the U.S. west coast and we are therefore subject to potential disruption due to labor unrest, security issues or natural disasters affecting any or all of these ports. In addition, we purchase and source products from a wide variety of suppliers, including from suppliers overseas, particularly in China where we maintain a global sourcing office to facilitate product sourcing. Diplomatic tensions between China and the U.S. and developments in Hong Kong and Taiwan, alongside other potential areas of tension, may affect us by creating regulatory, reputational and market risks. These and any future measures and countermeasures that may be taken by the U.S. or China may increase our cost of goods sold or reduce the supply of the products available to us. There is no assurance that any such increased costs could be passed on to our customers, or that we could find alternative products from other sources at comparable prices. To the extent that we are subject to more challenging regulatory environments and enhanced legal and regulatory requirements, such exposure could have a material adverse effect on our business, including the added cost of increased compliance measures that we may determine to be necessary.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light of the trade tensions between the U.S. and China, we have incurred incremental costs related to trade tariffs on inventory we purchase from China, but such costs have not had a material impact on our results of operations. We continue to monitor and evaluate the potential impact of the effective and proposed tariffs as well as other recent changes in foreign trade policy on our supply chain, costs, sales and profitability and have implemented strategies to mitigate such impact, including changes to our contracting model, alternative sourcing strategies and selective price increase pass-through efforts. If any of these events continue as described, they could disrupt the movement of products through our supply chain or increase their cost. In addition, we are in the process of diversifying our sourcing options outside Asia and executing this diversification plan introduces risk, including cybersecurity, global social responsibilities, product quality assurance and compliance, operations, and logistics. Further, a larger scale sourcing shift will be time-consuming and difficult or impracticable for many products and may result in an increase in our manufacturing costs. Substantial regulatory uncertainty exists regarding foreign trade and trade policy, both in the United States and abroad. The adoption and expansion of trade restrictions, retaliatory tariffs, or other governmental action related to tariffs or international trade agreements or policies has the potential to adversely impact demand for our products, our costs, our customers, our suppliers, and/or the U.S. economy, which in turn could adversely impact our results of operations and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credit facility could adversely impact our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asset-based credit facility contains a fixed charge coverage ratio covenant that is operative only when borrowing availability is below 10% of the Borrowing Base (as defined in Note 9. “Debt” in Notes to Consolidated Financial Statements) or prior to a restricted transaction, such as incurring additional indebtedness, acquisitions, dispositions, dividends, or share repurchases if we do not have the required liquidity. The agreement governing our credit facility (the “Third Amended Credit Agreement” as defined in Note 9. “Debt” in Notes to Consolidated Financial Statements) also contains representations, warranties, affirmative and negative covenants, and default provisions. A breach of any of these covenants could result in a default under our Third Amended Credit Agreement. Upon the occurrence of an event of default under our Third Amended Credit Agreement, the lenders could elect to declare all amounts outstanding to be immediately due and payable and terminate all commitments to extend further credit. If the lenders were to accelerate the repayment of borrowings, we may not have sufficient assets to repay our asset-based credit facility and our other indebtedness. Also, should there be an event of default, or a need to obtain waivers following an event of default, we may be subject to higher borrowing costs and/or more restrictive covenants in future periods. Acceleration of our obligations under our credit facilities would permit the holders of our other material debt to accelerate their obligations. We were in compliance with all applicable covenants as of December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legal compliance risks.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which from time to time may involve class action lawsuits, state and federal governmental inquiries, audits and investigations, environmental matters, employment, tort, state false claims act, data and privacy laws, consumer litigation and intellectual property litigation. At times, such matters may involve directors and/or executive officers. Additionally, the regulatory environment is more active. Certain of these legal proceedings, including government investigations, may be a significant distraction to management and could expose our Company to significant liability, including settlement expenses, damages, fines, penalties, attorneys’ fees and costs, and non-monetary sanctions, including suspensions and debarments from doing business with certain government agencies, any of which could have a material adverse effect on our business and results of operations. For a description of our legal proceedings, refer to Note 15. “Contingencies” in Notes to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or market measures to address climate change, could adversely affect our business, financial condition or results of operations.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There has been increased focus by federal, international, state and local regulatory and legislative bodies to combat and/or limit the effects of climate change through a variety of means, including regulating greenhouse gas (“GHG”) emissions (and the establishment of enhanced internal processes or systems to track them), policies mandating or promoting the use of renewable or zero-carbon energy and sustainability initiatives, and additional taxes on fuel and energy. If legislation or regulations are enacted or promulgated in the United States or in any other jurisdiction in which we do business that impose more stringent restrictions and requirements than our current legal or regulatory obligations, we and companies in our supply chain may experience increased compliance burdens and costs to meet the regulatory obligations, which could cause disruption in the sourcing, manufacturing and distribution of our products and adversely affect our business, financial condition or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the impacts of climate change and chemical compliance initiatives by our corporate and public sector customers may further influence customer preferences and requirements, such as increased demand for products with lower environmental footprints, compliance with customers’ restricted chemical lists and/or beyond restricted substances lists for products they are purchasing, and for companies to produce and demonstrate progress against GHG reduction plans and targets. Failure to provide climate-friendly products, demonstrate GHG reductions, and/or comply with B2B customers’ chemical compliance standards could potentially result in loss of market share.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 any of the jurisdictions in which we operate can cause fluctuations in our overall tax rate impacting our reported earnings.</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tax rate is derived from a combination of applicable tax rates in the various domestic and international jurisdictions in which we operate. While we have disposed of the majority of our international businesses, we remain subject to international taxes as part of our existing operations. Depending upon the sources of our income, any agreements we may have with taxing authorities in various jurisdictions, and the tax filing positions we take in these jurisdictions, our overall tax rate may fluctuate significantly from other companies or even our own past tax rates. In addition, changes in applicable U.S. or foreign tax laws and regulations, including the Tax Cuts and Jobs Act of 2017, or their interpretation and application, including the possibility of retroactive effect, could affect our tax expense and profitability. At any given point in time, we base our estimate of an annual effective tax rate upon a calculated mix of the tax rates applicable to us and to estimates of the amount of income likely to be generated in any given geography. The loss of or modification to one or more agreements with taxing jurisdictions, whether as a result of a third-party challenge, negotiation, or otherwise, a change in the mix of our business from year to year and from country to country, changes in rules related to accounting for income taxes, changes in tax laws in any of the multiple jurisdictions in which we operate, changes in valuation allowances, or adverse outcomes from the tax audits that regularly are in process in any of the jurisdictions in which we operate could result in substantial volatility, including an unfavorable change in our overall tax rate and/or our effective tax rate.</w:t>
      </w:r>
    </w:p>
    <w:p>
      <w:pPr>
        <w:spacing w:after="0" w:line="125"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Effective January 1, 2023, the 1% U.S. federal excise tax included in the Inflation Reduction Act of 2022 applied to certain repurchases of stock by publicly traded U.S. domestic corporations and certain U.S. domestic subsidiaries of publicly traded foreign corporations. Under the new excise tax requirements, we may be subject to the 1% excise tax (rather than our shareholders) in connection with certain of our repurchases. The foregoing would cause a reduction in our cash available on hand.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wage and benefit costs, changes in laws and other labor regulations could impact our financial results and cash flow.</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expenses relating to employee labor, including employee health benefits, are significant. Our ability to control our employee and related labor costs is generally subject to numerous external factors, including prevailing wage rates, legislative and private sector initiatives regarding healthcare reform, and adoption of new or revised employment and labor laws and regulations. Recently, various legislative movements have sought to increase the federal minimum wage in the United States and the minimum wage in a number of individual states, some of which have been successful at the state level. As federal or state minimum wage rates increase, we may need to increase not only the wage rates of our minimum wage employees, but also the wages paid to our other employees as well. Further, should we fail to increase our wages competitively in response to increasing wage rates, the quality of our workforce could decline, causing our customer service to suffer. Any increase in the cost of our labor could have an adverse effect on our operating costs, financial condition and results of operations.</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potential for unionization has increased nationwide. Although none of our U.S.-based employees are currently covered under a collective bargaining agreement, and our management believes that our employee relations are good, our employees may elect to seek to be represented by labor unions in the future. For example, in May 2023, a union filed an election petition with the National Labor Relations Board seeking to represent certain employees at our Grand Prairie, Texas distribution center. Subsequently, the group of employees voted to not be represented by the union. Additionally, one of our competitors recently faced a union election in another state. Significant union representation would require us to negotiate wages, salaries, benefits and other terms with many of our employees collectively and could adversely affect our results of operations by significantly increasing our labor costs or otherwise restricting our ability to maximize the efficiency of our operations. In addition, our responses to any union organizing efforts or a labor dispute involving some or all of our employees may harm our reputation.</w:t>
      </w:r>
    </w:p>
    <w:p>
      <w:pPr>
        <w:spacing w:after="0" w:line="13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We also have employees in Canada and Asia and are required to comply with laws and regulations in those countries that may differ substantially from country to country, requiring significant management attention and cost.</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regulatory environment and violations of the U.S. Foreign Corrupt Practices Act and similar worldwide anti-bribery laws may negatively impact our business.</w:t>
      </w:r>
    </w:p>
    <w:p>
      <w:pPr>
        <w:spacing w:after="0" w:line="104"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We are subject to regulations relating to our corporate conduct and the conduct of our business, including securities laws, consumer protection laws, hazardous material regulations, trade regulations, advertising regulations, privacy and cybersecurity laws, regulations relating to climate change and chemical compliance and wage and hour regulations and anti-corruption legislation. Certain jurisdictions have taken a particularly aggressive stance with respect to such matters and have implemented new initiatives and reforms, including more stringent regulations, disclosure and compliance requirements.</w:t>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the U.K. Bribery Act and similar anti-bribery laws in other jurisdictions generally prohibit companies and their intermediaries from making improper payments for the purpose of obtaining or retaining business. Recent years have seen a substantial increase in anti-bribery law enforcement activity with more frequent and aggressive investigations and enforcement proceedings by both the Department of Justice and the SEC, increased enforcement activity by non-U.S. regulators and increases in criminal and civil proceedings brought against companies and individuals. Our policies mandate compliance with all anti-bribery laws. However, we operate in certain countries that are recognized as having governmental and commercial corruption. Our internal control policies and procedures may not always protect us from reckless or criminal acts committed by our employees or third-party intermediaries. Violations of these anti-bribery laws may result in criminal or civil sanctions, which could have a material adverse effect on our business and results of operations.</w:t>
      </w:r>
    </w:p>
    <w:p>
      <w:pPr>
        <w:spacing w:after="0" w:line="131" w:lineRule="exact"/>
        <w:rPr>
          <w:sz w:val="20"/>
          <w:szCs w:val="20"/>
          <w:color w:val="auto"/>
        </w:rPr>
      </w:pPr>
    </w:p>
    <w:p>
      <w:pPr>
        <w:ind w:right="5160"/>
        <w:spacing w:after="0" w:line="465" w:lineRule="auto"/>
        <w:rPr>
          <w:sz w:val="20"/>
          <w:szCs w:val="20"/>
          <w:color w:val="auto"/>
        </w:rPr>
      </w:pPr>
      <w:r>
        <w:rPr>
          <w:rFonts w:ascii="Times New Roman" w:cs="Times New Roman" w:eastAsia="Times New Roman" w:hAnsi="Times New Roman"/>
          <w:sz w:val="17"/>
          <w:szCs w:val="17"/>
          <w:b w:val="1"/>
          <w:bCs w:val="1"/>
          <w:color w:val="auto"/>
        </w:rPr>
        <w:t xml:space="preserve">Risks Related to Information Technology and Information Security </w:t>
      </w:r>
      <w:r>
        <w:rPr>
          <w:rFonts w:ascii="Times New Roman" w:cs="Times New Roman" w:eastAsia="Times New Roman" w:hAnsi="Times New Roman"/>
          <w:sz w:val="17"/>
          <w:szCs w:val="17"/>
          <w:b w:val="1"/>
          <w:bCs w:val="1"/>
          <w:i w:val="1"/>
          <w:iCs w:val="1"/>
          <w:color w:val="auto"/>
        </w:rPr>
        <w:t>Disruptions of the computer systems we use could adversely affect our operations.</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rely heavily on computer systems to process transactions, including delivery of technology services, manage our inventory and supply-chain and to summarize and analyze our global business. In addition, when our website and our other customer-facing technology systems do not function as designed, our business could be negatively affected, resulting in a loss of customer confidence and satisfaction, and lost sales, which could adversely affect our reputation and result of operations. Various components of our information technology and computer systems, including hardware, networks, and software, are licensed to us and hosted by third-party vendors.</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Our systems are subject to damage or interruption from power outages, computer and telecommunications failures, computer viruses, cyber-attack or other security breaches, catastrophic events such as fires, floods, earthquakes, tornadoes, hurricanes, acts of war or terrorism, and usage errors by our employees. We carry insurance, including cyber insurance, which we believe to be commensurate with our size and the nature of our operations and expect that a portion of these costs may be covered by insurance.</w:t>
      </w:r>
    </w:p>
    <w:p>
      <w:pPr>
        <w:spacing w:after="0" w:line="128"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If our computer systems are damaged or cease to function properly in the future, or, if we do not replace or upgrade certain systems, we may incur substantial costs to repair or replace them and may experience an interruption of our normal business activities or loss of critical data.</w:t>
      </w:r>
    </w:p>
    <w:p>
      <w:pPr>
        <w:spacing w:after="0" w:line="1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and periodically upgrade many of these systems that increase productivity and efficiency. If these systems are not properly maintained or enhanced, the attention of our workforce could be diverted and our ability to provide the level of service our customers demand could be constrained for some time. Failure to make such investments could limit our ability to compete against our peers that are investing in these areas. Further, new systems might not properly integrate with existing systems. Also, once implemented, when new systems and technology do not provide the intended efficiencies or anticipated benefits, it could add costs and complications to our ongoing operations.</w:t>
      </w:r>
    </w:p>
    <w:p>
      <w:pPr>
        <w:spacing w:after="0" w:line="12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breach of our information technology systems could adversely affect our reputation, business partner and customer relationships and operations and result in high costs.</w:t>
      </w:r>
    </w:p>
    <w:p>
      <w:pPr>
        <w:spacing w:after="0" w:line="10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Through our sales, marketing activities, and use of third-party information, we collect and store certain personally identifiable information that our customers provide to purchase products or services, enroll in promotional programs, register on our website, or otherwise communicate and interact with us. This may include, but is not limited to, names, addresses, phone numbers, driver license numbers, e-mail addresses, contact preferences, personally identifiable information stored on electronic devices, and payment account information, including credit and debit card information. We also gather and retain information about our employees in the normal course of business. We may share information about such persons with vendors that assist with certain aspects of our business. In addition, our online operations depend upon the secure transmission of confidential information over public networks, such as information permitting cashless payments. Furthermore, the integration of generative artificial intelligence (“AI”) capabilities into our business processes and systems may contribute to increased cyber risks.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have instituted safeguards for the protection of such information and invested considerable resources, including insurance to cover cyber liabilities, in protecting our systems. These security measures may be compromised as a result of third-party security breaches, burglaries, cyber-attack, errors by our employees or the employees of third-party vendors, faulty password management, misappropriation of data by employees, vendors or unaffiliated third parties, or other irregularity, and result in persons obtaining unauthorized access to our data or accounts.</w:t>
      </w:r>
    </w:p>
    <w:p>
      <w:pPr>
        <w:spacing w:after="0" w:line="128"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Despite instituted safeguards for the protection of such information, we cannot be certain that all of our systems and those of our vendors and unaffiliated third parties are entirely free from vulnerability to attack or compromise given that the techniques used to obtain unauthorized access, disable or degrade service, or sabotage systems change frequently.</w:t>
      </w:r>
    </w:p>
    <w:p>
      <w:pPr>
        <w:spacing w:after="0" w:line="12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We have experienced and we expect to continue to experience attempts to breach our systems, none of which has been material to the Company as a whole to date, and we may be unable to protect sensitive data and the integrity of our systems or to prevent fraudulent purchases.</w:t>
      </w:r>
    </w:p>
    <w:p>
      <w:pPr>
        <w:spacing w:after="0" w:line="1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also subject to data privacy and security laws and regulations, the number and complexity of which are increasing globally, and despite reasonable efforts to comply with all applicable laws and regulations, there can be no assurance that we will not be the subject of enforcement or other legal actions in the event of an incident. The rapid evolution and increased adoption of AI technologies and our obligations to comply with emerging AI laws and regulations may require us to develop additional AI-specific governance programs or negatively impact our ability to use such technologies. Moreover, an alleged or actual security breach that affects our systems or results in the unauthorized release of personally identifiable information could:</w:t>
      </w:r>
    </w:p>
    <w:p>
      <w:pPr>
        <w:spacing w:after="0" w:line="128" w:lineRule="exact"/>
        <w:rPr>
          <w:sz w:val="20"/>
          <w:szCs w:val="20"/>
          <w:color w:val="auto"/>
        </w:rPr>
      </w:pPr>
    </w:p>
    <w:p>
      <w:pPr>
        <w:ind w:left="760" w:hanging="378"/>
        <w:spacing w:after="0" w:line="28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damage our reputation and brand, negatively affect customer satisfaction and loyalty, expose us to negative publicity, individual claims or consumer class actions, administrative, civil or criminal investigations or actions, and infringe on proprietary information; and</w:t>
      </w:r>
    </w:p>
    <w:p>
      <w:pPr>
        <w:spacing w:after="0" w:line="108" w:lineRule="exact"/>
        <w:rPr>
          <w:rFonts w:ascii="Times New Roman" w:cs="Times New Roman" w:eastAsia="Times New Roman" w:hAnsi="Times New Roman"/>
          <w:sz w:val="18"/>
          <w:szCs w:val="18"/>
          <w:color w:val="auto"/>
        </w:rPr>
      </w:pPr>
    </w:p>
    <w:p>
      <w:pPr>
        <w:ind w:left="760" w:right="20" w:hanging="378"/>
        <w:spacing w:after="0" w:line="276" w:lineRule="auto"/>
        <w:tabs>
          <w:tab w:leader="none" w:pos="7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incur substantial costs, including but not limited to costs associated with remediation for stolen assets or information, payments of customer incentives for the maintenance of business relationships after an attack, litigation costs, lost revenues resulting from unauthorized use of proprietary information or the failure to retain or attract customers following an attack, and increased cyber security protection costs. While we maintain insurance coverage that may, subject to policy terms and conditions, cover certain aspects of our cyber risks, such insurance coverage may be unavailable or insufficient to cover our losses or all types of claims that may arise in the continually evolving area of cyber risk.</w:t>
      </w:r>
    </w:p>
    <w:p>
      <w:pPr>
        <w:spacing w:after="0" w:line="117"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Although all of our divisions are exposed to these types of security risks, a successful cyber-attack, security breach, disruption or other incident could have a larger impact on divisions launching new product offerings by damaging reputation or brand and negatively affecting customer satisfaction and loyalty at an early stage in the business. Additionally, for divisions with newer technological offerings or new technology integrated into their operations, exposure to security risks may have a greater impact on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resume paying cash dividends.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Decisions regarding dividends depend on a number of factors, including general business and economic conditions, our financial condition, operating results and restrictions imposed by our debt agreements, the emergence of alternative investment or acquisition opportunities, changes in business strategy and other factors. Decisions on dividends are within the discretion of the Board of Directors. In order to preserve liquidity during the COVID-19 pandemic and in light of the uncertainties as to its duration and economic impact, in May 2020, our Board of Directors suspended the Company’s quarterly cash dividend beginning in the second quarter of 2020. Our quarterly cash dividend remains suspended and we do not anticipate declaring cash dividends in the foreseeable future. Changes in or the elimination of dividends could have an adverse effect on the price of our common stock.</w:t>
      </w:r>
    </w:p>
    <w:p>
      <w:pPr>
        <w:spacing w:after="0" w:line="12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price has been and may continue to be subject to volatility, and shareholders could incur substantial losses of any investment in our common stock.</w:t>
      </w:r>
    </w:p>
    <w:p>
      <w:pPr>
        <w:spacing w:after="0" w:line="10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common stock price has experienced volatility over time and this volatility may continue, in part due to factors mentioned in this Item 1A or due to other market-driven events beyond our control. As a result of these and other factors, investors in our common stock may not be able to resell their shares at or above their original purchase price.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(the “Chancery Court”), or, if the Chancery Court does not have jurisdiction, the federal district court for the district of Delaware or other state courts located in the State of Delaware, as the sole and exclusive forum for certain types of actions and proceedings that may be initiated by our shareholders, which could discourage lawsuits against us and our directors and officers.</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Chancery Court (or, if the Chancery Court does not have jurisdiction, the federal district court for the District of Delaware or other state courts of the State of Delaware) is the sole and exclusive forum for any shareholder (including a beneficial owner) to bring: (1) any derivative action or proceeding brought on our behalf, (2) any action asserting a claim of breach of a fiduciary duty owed by any of our current or former directors, officers or other employees to us or our shareholders, (3) any action asserting a claim arising pursuant to any provision of the Delaware General Corporation Law, our restated certificate of incorporation or amended and restated bylaws, or (4) any action asserting a claim governed by the internal affairs doctrine, except as to each of (1) through (4)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This forum selection provision may limit the ability of our shareholders to bring a claim in a judicial forum that such shareholders find favorable for disputes with us or our directors or officers, which may discourage such lawsuits against us and our directors and officers.</w:t>
      </w:r>
    </w:p>
    <w:p>
      <w:pPr>
        <w:spacing w:after="0" w:line="1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ODP Corporation maintains a comprehensive process for assessing, identifying and managing material risks from cybersecurity threats including risks relating to disruption of business operations or financial reporting systems, intellectual property theft; fraud; extortion; harm to employees or customers; damage to relationships; violation of privacy laws and other litigation and legal risk; and reputational risk; as part of our overall risk management system and processes. Cybersecurity is a critical component of our Enterprise Risk Management (“ERM”) process and we have established a cybersecurity and information security framework to help safeguard the confidentiality, integrity and access of our information assets and to ensure regulatory, contractual and operational compliance. This includes protection of customer and employee personally identifiable information (“PII”) and company confidential information.</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 cybersecurity governance framework in place which is designed to protect information and information systems from unauthorized access, use, disclosure, disruption, modification, or destruction. We deploy a multifaceted, in-depth digital security defense program to address digital security risks and vulnerabilities, and to protect company assets. The program is led by our Chief Information Security Officer (“CISO”) and implemented by a team of trained cybersecurity professionals comprising associates and third parties that augment the team. Our cybersecurity program consists of controls designed to identify, protect against, detect, respond to and recover from information and cybersecurity incidents.</w:t>
      </w:r>
    </w:p>
    <w:p>
      <w:pPr>
        <w:spacing w:after="0" w:line="1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CISO oversees the Company’s approach to managing cybersecurity and digital risk and is supported by the Company’s C-suite, officers and other Company leaders and regularly engages with cross-functional teams including finance, compliance, legal, and internal audit at the Company. We have a cybersecurity and information security framework that includes risk assessment and mitigation through a threat intelligence-driven approach and application of controls. The framework is based on International Organization for Standardizations (“ISO”) 27001/27002 standards for general information technology controls. In addition, we utilize Center for Internet Security best practice standards, the National Institute of Standards and Technology Cyber Security Framework for measuring overall readiness to respond to cyber threats, and Sarbanes-Oxley for assessment of internal controls. We utilize policies, software, training programs and hardware solutions to protect and monitor our environment, including multifactor authentication, firewalls, intrusion detection and prevention systems, vulnerability and penetration testing and identity management systems. Our information security and privacy policies are informed by regulatory requirements and are reviewed periodically for compliance and alignment with current state and federal laws and regulations. We comply with applicable industry security standards, including the Payment Card Industry Data Security Standard (“PCI DSS”). As part of our cybersecurity and information security program, we regularly evaluate and audit (with internal audit) our controls and vulnerabilities. Risks are identified from various sources and we monitor our infrastructure and applications to identify evolving cyber threats, and mitigate risks. We maintain a security operations center to monitor our Security Information and Event Management system.</w:t>
      </w:r>
    </w:p>
    <w:p>
      <w:pPr>
        <w:spacing w:after="0" w:line="14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Additionally, we maintain a Cybersecurity Incident Response Plan, which is reviewed regularly, and provides a framework for handling and escalating cybersecurity incidents based on the severity of the incident and facilitates cross-functional coordination across the Company.</w:t>
      </w:r>
    </w:p>
    <w:p>
      <w:pPr>
        <w:spacing w:after="0" w:line="1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comprehensive global training and awareness program, provide annual security awareness education and training for employees and consultants, conduct internal “phishing” testing, and publish periodic cybersecurity newsletters providing relevant information on security topics and cybersecurity policies to help our associates and contractors extend our security mission throughout their day-to-day responsibilities and to help them make sound computing decisions. We also periodically conduct simulated cybersecurity incident exercises administered by a third-party cybersecurity consultant. Additionally, we carry industry-standard cybersecurity insurance, which we believe to be commensurate with our size and the nature of our operations, and regularly review our policy and levels of coverage based on current risks.</w:t>
      </w:r>
    </w:p>
    <w:p>
      <w:pPr>
        <w:spacing w:after="0" w:line="132"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In connection with our cybersecurity risk management processes, we incorporate internal and external expertise. For example, our CISO works in partnership with our internal audit department to review cybersecurity controls in the context of financial reporting as part of the overall internal controls process. We utilize third-party security companies to test for cyber vulnerabilities, to perform penetration tests periodically and to test incident response preparedness. Additionally, we conduct regular information technology reviews based on the SOC 2 audit framework, periodic cybersecurity “tabletop” exercises with the C-suite, the Board, and Company associates and Board cybersecurity education, all of which are administered by independent third parties. We engage outside counsel regarding cybersecurity issues such as regulatory compliance, materiality determinations, disclosure obligations and best practices for oversight, as needed. We also collaborate with our peers and partners in the areas of threat intelligence and vulnerability management.</w:t>
      </w:r>
    </w:p>
    <w:p>
      <w:pPr>
        <w:spacing w:after="0" w:line="121" w:lineRule="exact"/>
        <w:rPr>
          <w:sz w:val="20"/>
          <w:szCs w:val="20"/>
          <w:color w:val="auto"/>
        </w:rPr>
      </w:pPr>
    </w:p>
    <w:p>
      <w:pPr>
        <w:jc w:val="both"/>
        <w:ind w:right="540"/>
        <w:spacing w:after="0" w:line="265" w:lineRule="auto"/>
        <w:rPr>
          <w:sz w:val="20"/>
          <w:szCs w:val="20"/>
          <w:color w:val="auto"/>
        </w:rPr>
      </w:pPr>
      <w:r>
        <w:rPr>
          <w:rFonts w:ascii="Times New Roman" w:cs="Times New Roman" w:eastAsia="Times New Roman" w:hAnsi="Times New Roman"/>
          <w:sz w:val="18"/>
          <w:szCs w:val="18"/>
          <w:color w:val="auto"/>
        </w:rPr>
        <w:t>Cybersecurity risks related to third parties are managed as part of our third-party risk management program to assess risk from material vendors and suppliers. Additionally, we have developed information security processes applicable to third parties which are incorporated into our standard form contracts.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As previously disclosed, our business strategy, results of operations and financial condition were negatively impacted by a malware incident that affected CompuCom, our previously-owned subsidiary, in March 2021. We sold our CompuCom Division through a single disposal group on December 31, 2021 and the financial impact of the malware incident was reflected within discontinued operations. For additional information, see “Risk Factors” within Other Key Information in this Annual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cybersecurity risk management processes described above are managed by our CISO and a team of information security professionals. Our CISO has 9 years of experience in the role at the Company and holds a Certified Information Security Manager (“CISM”) certification. In addition, our CISO has 10+ years of experience managing secure applications that are PCI DSS compliant and protect PII via application of information security policies/standards and risk management principles, along with 10+ years producing reduced risk, SOX, PCI, CCPA and Internal Audit compliant systems through application of control frameworks and governance structures.</w:t>
      </w:r>
    </w:p>
    <w:p>
      <w:pPr>
        <w:spacing w:after="0" w:line="128"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Our CISO reports to the Chief Technology Officer (“CTO”) who, in partnership with the Chief Information Officer (“CIO”), is responsible for informing executive leadership regarding cybersecurity. The CISO also reports to the independent Audit Committee quarterly, as described below. The CISO leads a team of trained internal cybersecurity professionals addressing digital security risks, vulnerabilities and protecting company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independent Audit Committee of the Board of Directors is primarily responsible for the oversight of risks from cybersecurity and data privacy and is responsible for assessing the Company’s business risk management process and policies pursuant to the committee charter. To fulfill this responsibility, the Audit Committee receives quarterly reports about cybersecurity risks from our CISO. These reports include information regarding the implementation and administration of our cybersecurity processes, cybersecurity governance processes, status of projects relating to cybersecurity, cybersecurity matters relating to any particular products or services, summaries of any material cybersecurity threats or incidents and responses thereto, regulatory updates, updates on cybersecurity trends and the results of any assessments performed by internal stakeholders or third-party advisors.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the Board of Directors retains responsibility for the oversight of our overall risk management systems and processes. The Board reviews the results of the annual Enterprise Risk Management (“ERM”) assessment and the mitigation of the risks identified, which includes the topic of cybersecurity. The Company’s Risk Profile (derived from ERM assessment) is monitored throughout the year, and the Board and/or Audit Committee is updated, as necessary. Additionally, our CTO and CIO provide technology updates to the full Board quarterly, including governance and risk considerations of our information security program.</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30, 2023, we operated in the following locations: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Depot Division (United States)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4"/>
        </w:trPr>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20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Alaska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New Mexico</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Oklahoma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Puerto Rico</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Washington</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Wyoming</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916</w:t>
            </w:r>
          </w:p>
        </w:tc>
      </w:tr>
    </w:tbl>
    <w:p>
      <w:pPr>
        <w:spacing w:after="0" w:line="103"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supply chain facilities which we operate in the continental United States and Puerto Rico support our ODP Business Solutions and Office Depot Divisions and the facilities in Canada support our ODP Business Solutions Division. The following table sets forth the locations of our principal supply chain facilities from continuing operations as of December 30, 2023.</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DCs and Crossdock Facilities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9"/>
        </w:trPr>
        <w:tc>
          <w:tcPr>
            <w:tcW w:w="43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Oklahoma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Puerto Rico</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Washington</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United States</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r>
    </w:tbl>
    <w:p>
      <w:pPr>
        <w:spacing w:after="0" w:line="1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principal corporate headquarters is located in Boca Raton, FL, and is in a leased facility that is approximately 284,000 square feet. This facility is considered to be in good condition, adequate for its purpose and suitably utilized according to the individual nature and requirements of the relevant operations. Although we own a small number of our retail store locations, most of our facilities are leased or subleased. Additional information regarding our operating leases and leasing arrangements is available in Note 1. “Summary of Significant Accounting Policies” and Note 10. “Leases” in Notes to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legal proceedings, refer to Note 15. “Contingencies” in Notes to Consolidated Financial Statements.</w:t>
      </w:r>
    </w:p>
    <w:p>
      <w:pPr>
        <w:sectPr>
          <w:pgSz w:w="11900" w:h="16838" w:orient="portrait"/>
          <w:cols w:equalWidth="0" w:num="1">
            <w:col w:w="11240"/>
          </w:cols>
          <w:pgMar w:left="320" w:top="768" w:right="339" w:bottom="1153"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153"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ticker symbol ODP.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close of business on February 21, 2024, there were 3,088 holders of record of our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w:t>
      </w:r>
    </w:p>
    <w:p>
      <w:pPr>
        <w:spacing w:after="0" w:line="14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did not declare any cash dividends in 2023 and do not anticipate declaring cash dividends in the foreseeable future. Our Third Amended Credit Agreement permits restricted payments, such as dividends, but may be limited if we do not meet the required minimum liquidity or fixed charge coverage ratio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October 2022, our Board of Directors approved a stock repurchase program of up to $1 billion, available through December 31, 2025, to replace the existing $600 million stock repurchase program effective November 3, 2022. We repurchased six million shares in 2023 for a total consideration of $298 million. Of the total shares repurchased, two million shares were purchased from HG Vora Special Opportunities Master Fund, Ltd. (“HG Vora”) for a cost of $89 million pursuant to the related stock purchase agreement that the Company entered into with HG Vora, effective March 13, 2023. As of December 30, 2023, $552 million remains available for stock repurchases under the current stock repurchase program. In February 2024, the Company’s Board of Directors approved a new stock repurchase program of up to $1 billion of its common stock, available through March 31, 2027, which replaced the then existing $1 billion stock repurchase program. Subsequent to the end of fiscal 2023 and through February 21, 2024, we bought back 332 thousand shares of our common stock at a cost of $17 million.</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authorization may be suspended or discontinued at any time. The stock repurchase authorization permits us to repurchase stock from time-to-time through a combination of open market repurchases, privately negotiated transactions, 10b5-1 trading plans, accelerated stock repurchase transactions and/or other derivative transactions. The exact number and timing of stock repurchases will depend on market conditions and other factors and will be funded through available cash balances. Our Third Amended Credit Agreement permits restricted payments, such as common stock repurchases, but may be limited if we do not meet the required minimum liquidity or fixed charge coverage ratio requirements. The authorized amount under the stock repurchase program excludes fees, commissions, taxes or other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common stock repurchases during the fourth quarter of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4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5"/>
        </w:trPr>
        <w:tc>
          <w:tcPr>
            <w:tcW w:w="4980" w:type="dxa"/>
            <w:vAlign w:val="bottom"/>
          </w:tcPr>
          <w:p>
            <w:pPr>
              <w:spacing w:after="0"/>
              <w:rPr>
                <w:sz w:val="15"/>
                <w:szCs w:val="15"/>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May Yet Be</w:t>
            </w:r>
          </w:p>
        </w:tc>
      </w:tr>
      <w:tr>
        <w:trPr>
          <w:trHeight w:val="175"/>
        </w:trPr>
        <w:tc>
          <w:tcPr>
            <w:tcW w:w="4980" w:type="dxa"/>
            <w:vAlign w:val="bottom"/>
          </w:tcPr>
          <w:p>
            <w:pPr>
              <w:spacing w:after="0"/>
              <w:rPr>
                <w:sz w:val="15"/>
                <w:szCs w:val="15"/>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Part of a Publicly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173"/>
        </w:trPr>
        <w:tc>
          <w:tcPr>
            <w:tcW w:w="4980" w:type="dxa"/>
            <w:vAlign w:val="bottom"/>
          </w:tcPr>
          <w:p>
            <w:pPr>
              <w:spacing w:after="0"/>
              <w:rPr>
                <w:sz w:val="15"/>
                <w:szCs w:val="15"/>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6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Announced Plan 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the Repurchase</w:t>
            </w:r>
          </w:p>
        </w:tc>
      </w:tr>
      <w:tr>
        <w:trPr>
          <w:trHeight w:val="175"/>
        </w:trPr>
        <w:tc>
          <w:tcPr>
            <w:tcW w:w="4980" w:type="dxa"/>
            <w:vAlign w:val="bottom"/>
          </w:tcPr>
          <w:p>
            <w:pPr>
              <w:spacing w:after="0"/>
              <w:rPr>
                <w:sz w:val="15"/>
                <w:szCs w:val="15"/>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5"/>
                <w:szCs w:val="15"/>
                <w:color w:val="auto"/>
              </w:rPr>
            </w:pPr>
          </w:p>
        </w:tc>
        <w:tc>
          <w:tcPr>
            <w:tcW w:w="16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i w:val="1"/>
                <w:iCs w:val="1"/>
                <w:color w:val="auto"/>
              </w:rPr>
              <w:t>Programs</w:t>
            </w:r>
          </w:p>
        </w:tc>
      </w:tr>
      <w:tr>
        <w:trPr>
          <w:trHeight w:val="189"/>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October 28, 2023</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45.68</w:t>
            </w:r>
          </w:p>
        </w:tc>
        <w:tc>
          <w:tcPr>
            <w:tcW w:w="17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573</w:t>
            </w: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29 — November 25, 2023</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46.98</w:t>
            </w:r>
          </w:p>
        </w:tc>
        <w:tc>
          <w:tcPr>
            <w:tcW w:w="178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564</w:t>
            </w: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26 — December 30, 2023</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552</w:t>
            </w: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47.51</w:t>
            </w:r>
          </w:p>
        </w:tc>
        <w:tc>
          <w:tcPr>
            <w:tcW w:w="178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32"/>
        </w:trPr>
        <w:tc>
          <w:tcPr>
            <w:tcW w:w="4980" w:type="dxa"/>
            <w:vAlign w:val="bottom"/>
          </w:tcPr>
          <w:p>
            <w:pPr>
              <w:spacing w:after="0"/>
              <w:rPr>
                <w:sz w:val="24"/>
                <w:szCs w:val="24"/>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2"/>
        </w:trPr>
        <w:tc>
          <w:tcPr>
            <w:tcW w:w="49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-1095375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-1095375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-1095375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ODP Corporation Stock Comparative Performance Graph</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ODP Corporation Comparative Performance Graph section shall not be deemed to be filed as part of this Annual Report and does not constitute soliciting material and should not be deemed filed or incorporated by reference into any other filing of the Company under the Securities Act of 1933, as amended, or the Exchange Act, except to the extent we specifically incorporate the graph by reference.</w:t>
      </w:r>
    </w:p>
    <w:p>
      <w:pPr>
        <w:spacing w:after="0" w:line="120"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The following graph compares the five-year cumulative total shareholder return on our common stock with the cumulative total returns of the Standard &amp; Poor’s 500 Index (“S&amp;P 500”) and the Standard &amp; Poor’s Composite 1500 Specialty Retail Index (“S&amp;P Composite 1500 Specialty Retail”) of which we are a component of each Index.</w:t>
      </w:r>
    </w:p>
    <w:p>
      <w:pPr>
        <w:spacing w:after="0" w:line="12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graph assumes an investment of $100 at the close of trading on December 29, 2018, the last trading day of fiscal year 2018, in our common stock, the S&amp;P 500 and the S&amp;P Composite 1500 Specialty Retail.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The ODP Corporation, the S&amp;P 500 Index and the S&amp;P Composite 1500 Specialty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154305</wp:posOffset>
            </wp:positionV>
            <wp:extent cx="6165215" cy="389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65215" cy="389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*$100 invested on 12/29/18 in stock or in index, including reinvestment of dividends. Indexes calculated on month-end basis.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Copyright© 2024 Standard &amp; Poor’s, a division of S&amp;P Global. All rights reserved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12/29/18</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12/28/19</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12/26/20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12/25/2021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12/30/2023</w:t>
            </w:r>
          </w:p>
        </w:tc>
      </w:tr>
      <w:tr>
        <w:trPr>
          <w:trHeight w:val="23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ODP Corporation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109.41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120.37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163.93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191.47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236.70</w:t>
            </w: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68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131.49</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155.68</w:t>
            </w: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200.37</w:t>
            </w: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164.08</w:t>
            </w: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207.21</w:t>
            </w: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S&amp;P Composite 1500 Specialty Retail</w:t>
            </w: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129.75</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156.98</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233.17</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197.75</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226.20</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ectPr>
          <w:pgSz w:w="11900" w:h="16838" w:orient="portrait"/>
          <w:cols w:equalWidth="0" w:num="1">
            <w:col w:w="11240"/>
          </w:cols>
          <w:pgMar w:left="320" w:top="768"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provide information to assist readers in better understanding and evaluating our financial condition and results of operations. We recommend reading this MD&amp;A in conjunction with our Consolidated Financial Statements and Notes thereto included in this Annual Report.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are a leading provider of products, services and technology solutions through an integrated business-to-business (“B2B”) distribution platform and omni-channel presence, which includes supply chain and distribution operations, dedicated sales professionals, a B2B digital procurement solution, online presence, and a network of Office Depot and OfficeMax retail stores. Through our operating companies ODP Business Solutions, LLC; Office Depot, LLC; Veyer, LLC; and Varis, Inc., we empower every business, professional, and consumer to achieve more every day.</w:t>
      </w:r>
    </w:p>
    <w:p>
      <w:pPr>
        <w:spacing w:after="0" w:line="128"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As of December 30, 2023, our operations are organized into four reportable segments (or “Divisions”), as described below. We sold our CompuCom Division through a single disposal group on December 31, 2021. Accordingly, that business is presented as discontinued operations.</w:t>
      </w:r>
    </w:p>
    <w:p>
      <w:pPr>
        <w:spacing w:after="0" w:line="1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ODP Business Solutions Division – </w:t>
      </w:r>
      <w:r>
        <w:rPr>
          <w:rFonts w:ascii="Times New Roman" w:cs="Times New Roman" w:eastAsia="Times New Roman" w:hAnsi="Times New Roman"/>
          <w:sz w:val="18"/>
          <w:szCs w:val="18"/>
          <w:color w:val="auto"/>
        </w:rPr>
        <w:t>Our leading B2B distribution solutions provider serving small, medium and enterprise level companies, including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public and education sectors. This segment operates in the United States, Puerto Rico, the U.S. Virgin Islands, and Canada. The ODP Business Solutions Division sells nationally branded, as well as our private branded, office supply and adjacency products and services to customers, who are served through a dedicated sales force, catalogs, telesales, and electronically through our Internet websites. Adjacency products and services include cleaning, janitorial, and breakroom supplies, office furniture, technology products, and copy and print services. This segment also includes our Federation entities, which are over 20 regional office supply distribution businesses acquired by us as part of our transformation to expand our reach and distribution network into geographic areas that were previously underserved, and which continue to operate under their own brand names. The acquisition of these businesses has allowed for an effective and accretive means to expand our distribution reach, target new business customers and grow our offerings beyond traditional office supplies.</w:t>
      </w:r>
    </w:p>
    <w:p>
      <w:pPr>
        <w:spacing w:after="0" w:line="13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Office Depot Division – </w:t>
      </w:r>
      <w:r>
        <w:rPr>
          <w:rFonts w:ascii="Times New Roman" w:cs="Times New Roman" w:eastAsia="Times New Roman" w:hAnsi="Times New Roman"/>
          <w:sz w:val="18"/>
          <w:szCs w:val="18"/>
          <w:color w:val="auto"/>
        </w:rPr>
        <w:t>Our leading provider of retail consumer and small business products and services distributed through a fully integrated omni-channel platform of 916 Office Depot and OfficeMax retail locations in the United States, Puerto Rico and the U.S. Virgin Islands, and an eCommerce presence (www.officedepot.com). Our Office Depot Division sells office supplies, technology products and solutions, business machines and related supplies, cleaning, breakroom and facilities products, personal protective equipment, and office furniture as well as offering business services including copying, printing, digital imaging, mailing, shipping and technology support services. In addition, the print needs for retail and business customers are facilitated through our regional print production centers.</w:t>
      </w:r>
    </w:p>
    <w:p>
      <w:pPr>
        <w:spacing w:after="0" w:line="13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Veyer Division – </w:t>
      </w:r>
      <w:r>
        <w:rPr>
          <w:rFonts w:ascii="Times New Roman" w:cs="Times New Roman" w:eastAsia="Times New Roman" w:hAnsi="Times New Roman"/>
          <w:sz w:val="18"/>
          <w:szCs w:val="18"/>
          <w:color w:val="auto"/>
        </w:rPr>
        <w:t>Our supply chain, distribution, procurement and global sourcing operation, which specializes in B2B and consumer business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with core competencies in distribution, fulfillment, transportation, global sourcing and purchasing. The Veyer Division’s customers include our Office Depot Division and ODP Business Solutions Division, as well as third-party customers. The Veyer Division also includes the Company’s global sourcing operations in Asia.</w:t>
      </w:r>
    </w:p>
    <w:p>
      <w:pPr>
        <w:spacing w:after="0" w:line="1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Varis Division – </w:t>
      </w:r>
      <w:r>
        <w:rPr>
          <w:rFonts w:ascii="Times New Roman" w:cs="Times New Roman" w:eastAsia="Times New Roman" w:hAnsi="Times New Roman"/>
          <w:sz w:val="18"/>
          <w:szCs w:val="18"/>
          <w:color w:val="auto"/>
        </w:rPr>
        <w:t>Our tech-enabled B2B indirect procurement marketplace, which provides a seamless way for buyers and suppliers to transact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consumer-like buying experience, advanced spend management tools, network of suppliers, and technology capabilities. In connection with our development efforts of this Division, we acquired BuyerQuest Holdings, Inc. (“BuyerQuest”) in 2021, a software as a service eProcurement platform company. BuyerQuest’s operating results are included in our Varis Division. The Varis Division currently serves enterprise businesses and provides its services to middle- and small-sized businesses. It is focused on filling the growing demand for a B2B centric digital commerce platform that is modern, trusted, and provides the procurement controls and visibility businesses require to operate.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been acquiring profitable regional office supply distribution businesses to expand our reach and distribution network into geographic areas that were previously underserved. In 2023, we acquired two small independent regional office supply distribution businesses in the U.S. Our strategy has been to acquire businesses with purchase prices ranging from $5 million to $15 million, which are individually insignificant to us. The businesses acquired were consistent with acquisitions of similar sized businesses in the past and the acquisitions were primarily funded with cash on hand. The operating results of these small office supply businesses are combined with our operating results subsequent to their purchase dates, and are included in our ODP Business Solutions Division. Refer to Note 2. “Acquisitions” in Notes to Consolidated Financial Statements for additional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sale of CompuCom, which represented our former CompuCom Division, was completed on December 31, 2021. The transaction was structured and accounted for as an equity sale. The related Securities Purchase Agreement (“SPA”) provides for consideration consisting of a cash purchase price equal to $125 million (subject to customary adjustments, including cash, debt and working capital), an interest-bearing promissory note in the amount of $55 million, and a holding fee (“earn-out”) provision providing for payments of up to $125 million in certain circumstances. The promissory note accrues interest at six percent per annum, payable on a quarterly basis in cash or in-kind, and is due in full on June 30, 2027. Under the earn-out provision, if the purchaser receives dividends or sale proceeds from the CompuCom business equal to (i) three times its initial capital investment in the CompuCom business plus (ii) 15% per annum on subsequent capital investments, the Company will be entitled to 50% of any subsequent dividends or sale proceeds up to and until the Company has received an aggregate of $125 million. The Company provided certain transitional services to the purchaser for a period of three to twelve months under a separate agreement after closing. The SPA contains customary warranties of the Company and the purchaser.</w:t>
      </w:r>
    </w:p>
    <w:p>
      <w:pPr>
        <w:spacing w:after="0" w:line="13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February 2023, the Company and the purchaser reached a settlement on the cash, debt and working capital adjustments, and amended the promissory note which increased its principal balance to $59 million. The sale of CompuCom represented a strategic shift that had a major impact on our operations and financial results. Accordingly, the operating results and cash flows are classified as discontinued operations for all periods presented. Refer to Note 16. “Discontinued Operations” in Notes to Consolidated Financial Statements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GLOBAL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closely monitoring the unfolding events due to the Russia-Ukraine conflict and the conflict in the Middle East, and their regional and global ramifications. We do not have operations in Ukraine, Russia or the Middle East, and our supply chain has not been impacted as of the date of this report. While we do have certain vendors that are based in Ukraine, we have not experienced an impact as a result of the conflict. Other impacts due to this rapidly evolving situation are currently unknown and the broader economic impacts could potentially subject our business to materially adverse consequences should the situation escalate beyond its current scope.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CONTINUING OPERATIONS AND LIQUIDITY</w:t>
      </w:r>
    </w:p>
    <w:p>
      <w:pPr>
        <w:spacing w:after="0" w:line="17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 following summarizes the more significant factors impacting our operating results for the 52-week period ended December 30, 2023 (also referred to as “2023”) and the 53-week period ended December 31, 2022 (also referred to as “2022”) as well as our liquidity in 2023 and 2022. We have omitted discussion of 2021 results where it would be redundant to the discussion previously included in MD&amp;A of our 2022 Annual Report on Form 10-K. Prior year amounts have been recast to conform to the current presentation of our reportable segments. In addition, management of the Company also changed how it analyzes these businesses, which resulted in the inclusion of certain corporate costs, mainly payroll related, previously excluded from segment profitability measures. The changes to our reportable segments did not impact our Consolidated Financial Statements. These changes also have no impact on previously reported Consolidated Balance Sheets, Statements of Operations, Statements of Comprehensive Income, Statements of Stockholders’ Equity, or Statements of Cash Flows.</w:t>
      </w:r>
    </w:p>
    <w:p>
      <w:pPr>
        <w:spacing w:after="0" w:line="128"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Our consolidated sales were $660 million, or 8%, lower in 2023 compared to 2022. Sales in our ODP Business Solutions Division decreased $101 million, or 3%, as compared to 2022. This included the unfavorable impact from the 53rd week in 2022 not recurring in 2023, which had sales of $58 million. The decrease in sales in our ODP Business Solutions Division was across a majority of its product categories, primarily in personal protective equipment and technology, and was driven by lower demand from business-to-business customers, due to reduced spending. Sales in our Office Depot Division decreased $567 million, or 13%, as compared to the same period in the prior year. This included the unfavorable impact from the 53rd week in 2022 not recurring in 2023, which had sales of $70 million. The decrease in sales in our Office Depot Division was mainly a result of planned store closures, lower demand, and lower average order values at our retail stores and on our eCommerce platform. The sales decline was across the majority of Office Depot Division’s product categories, except copy and print. The demand for these categories was impacted by reduced spending of our customers, including during the competitive back-to-school season in the third quarter of 2023. Our Veyer Division sales increased $7 million, or 25%, as a result of increases in supply chain services provided to third parties. The contribution of our Varis Division to consolidated sales was not material.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32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6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(External)</w:t>
            </w:r>
          </w:p>
        </w:tc>
        <w:tc>
          <w:tcPr>
            <w:tcW w:w="3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ODP Business Solutions Division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3,904</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4,005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Depot Division</w:t>
            </w:r>
          </w:p>
        </w:tc>
        <w:tc>
          <w:tcPr>
            <w:tcW w:w="300" w:type="dxa"/>
            <w:vAlign w:val="bottom"/>
          </w:tcPr>
          <w:p>
            <w:pPr>
              <w:spacing w:after="0"/>
              <w:rPr>
                <w:sz w:val="20"/>
                <w:szCs w:val="2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3,884</w:t>
            </w:r>
          </w:p>
        </w:tc>
        <w:tc>
          <w:tcPr>
            <w:tcW w:w="460" w:type="dxa"/>
            <w:vAlign w:val="bottom"/>
          </w:tcPr>
          <w:p>
            <w:pPr>
              <w:spacing w:after="0"/>
              <w:rPr>
                <w:sz w:val="20"/>
                <w:szCs w:val="20"/>
                <w:color w:val="auto"/>
              </w:rPr>
            </w:pP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4,451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Veyer Division</w:t>
            </w: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1"/>
                <w:szCs w:val="21"/>
                <w:color w:val="auto"/>
              </w:rPr>
            </w:pP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Varis Division</w:t>
            </w: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21"/>
                <w:szCs w:val="21"/>
                <w:color w:val="auto"/>
              </w:rPr>
            </w:pP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66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62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7,831</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8,491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FACTORS IMPACTING TOTAL COMPANY RESULTS AND LIQUIDITY</w:t>
      </w:r>
    </w:p>
    <w:p>
      <w:pPr>
        <w:spacing w:after="0" w:line="175" w:lineRule="exact"/>
        <w:rPr>
          <w:sz w:val="20"/>
          <w:szCs w:val="20"/>
          <w:color w:val="auto"/>
        </w:rPr>
      </w:pPr>
    </w:p>
    <w:p>
      <w:pPr>
        <w:ind w:left="760" w:right="180" w:hanging="378"/>
        <w:spacing w:after="0" w:line="25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decreased $82 million, or 4% in 2023 when compared to 2022. Our ODP Business Solutions Division had $36 million higher gross profit resulting from favorable product margin. Our Veyer Division had $11 million higher gross profit due to the increase in sales to third parties and lower product costs. Our Varis Division also contributed $3 million higher gross profit during this period. These improvements were more than offset by $132 million decrease in gross profit of our Office Depot Division. The decrease in the Office Depot Division gross profit in 2023 is primarily due to the flow through impact of lower sales, partially offset by improved product margin. In 2023, our supply chain and occupancy costs have increased, including labor, facility and store rents, and utilities.</w:t>
      </w:r>
    </w:p>
    <w:p>
      <w:pPr>
        <w:spacing w:after="0" w:line="1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for 2023 and 2022, was 23% and 22%, respectively.</w:t>
      </w:r>
    </w:p>
    <w:p>
      <w:pPr>
        <w:spacing w:after="0" w:line="170" w:lineRule="exact"/>
        <w:rPr>
          <w:rFonts w:ascii="Times New Roman" w:cs="Times New Roman" w:eastAsia="Times New Roman" w:hAnsi="Times New Roman"/>
          <w:sz w:val="18"/>
          <w:szCs w:val="18"/>
          <w:color w:val="auto"/>
        </w:rPr>
      </w:pPr>
    </w:p>
    <w:p>
      <w:pPr>
        <w:ind w:left="760" w:right="120" w:hanging="378"/>
        <w:spacing w:after="0" w:line="25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selling, general and administrative expenses decreased $76 million in 2023 when compared to 2022, mainly due to the $76 million decrease in our Office Depot Division in 2023. The decrease in our Office Depot Division was driven by store closures and certain strategic initiatives, including the Maximize B2B Restructuring Plan, aimed to generate savings through optimizing our retail footprint and removing corresponding costs supporting our Office Depot Division as our retail footprint is reduced. Also impacting 2023 were lower corporate costs, which mainly consisted of employee-related costs. These decreases were partially offset by increases in employee-related costs in our ODP Business Solutions Division and Veyer Division. Selling, general and administrative expenses as a percentage of total sales was 19% in 2023 as compared to 18% in 2022, mainly due to the deleveraging from lower sales.</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left="760" w:right="60" w:hanging="378"/>
        <w:spacing w:after="0" w:line="25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$85 million of asset impairment charges in 2023 which included $68 million related to the impairment of goodwill in our Varis Division, and $12 million related to impairment of operating lease right-of-use (“ROU”) assets associated with our retail store locations, with the remainder primarily relating to impairment of fixed assets at these retail store locations and other impairments. We recorded $14 million of asset impairment charges in 2022, which included $12 million related to impairment of operating lease ROU assets associated with our retail store locations, with the remainder primarily relating to impairment of fixed assets at these retail store locations. Refer to Note 14. “Fair Value Measurements” in Notes to Consolidated Financial Statements for additional information.</w:t>
      </w:r>
    </w:p>
    <w:p>
      <w:pPr>
        <w:spacing w:after="0" w:line="131" w:lineRule="exact"/>
        <w:rPr>
          <w:rFonts w:ascii="Times New Roman" w:cs="Times New Roman" w:eastAsia="Times New Roman" w:hAnsi="Times New Roman"/>
          <w:sz w:val="18"/>
          <w:szCs w:val="18"/>
          <w:color w:val="auto"/>
        </w:rPr>
      </w:pPr>
    </w:p>
    <w:p>
      <w:pPr>
        <w:ind w:left="760" w:right="120" w:hanging="378"/>
        <w:spacing w:after="0" w:line="255"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$4 million of Merger, restructuring and other operating expenses, net in 2023 compared to $39 million in 2022. Merger, restructuring and other operating expenses in 2023 relate to restructuring activities and transaction and integration costs. Merger, restructuring and other operating expenses in 2022 relate to costs associated with the previously planned separation of our consumer business and the re-alignment of our operations, which were mainly third-party professional fees. These costs were partially offset by $8 million income related to restructuring activities, which was driven by reversals of employee severance accruals, and $7 million income related to an earn-out adjustment for BuyerQuest. We did not record any transaction and integration costs in 2022. Refer to Note 3. “Merger, Restructuring and Other Activity” in Notes to Consolidated Financial Statements for additional information.</w:t>
      </w:r>
    </w:p>
    <w:p>
      <w:pPr>
        <w:spacing w:after="0" w:line="132" w:lineRule="exact"/>
        <w:rPr>
          <w:rFonts w:ascii="Times New Roman" w:cs="Times New Roman" w:eastAsia="Times New Roman" w:hAnsi="Times New Roman"/>
          <w:sz w:val="18"/>
          <w:szCs w:val="18"/>
          <w:color w:val="auto"/>
        </w:rPr>
      </w:pPr>
    </w:p>
    <w:p>
      <w:pPr>
        <w:ind w:left="760" w:right="60" w:hanging="378"/>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our effective tax rate was primarily impacted by the goodwill impairment in our Varis Division, the recognition of a tax windfall associated with stock-based compensation awards, recognition of 2022 and 2023 Research and Development tax credits, and certain nondeductible items. These factors, along with the impact of state taxes and the mix of income and losses across U.S. and non-U.S. jurisdictions, caused our effective tax rate of 31% for 2023 to differ from the statutory rate of 21%. Our effective tax rate for prior periods has varied considerably primarily due to stock-based compensation awards, recognition of tax benefits due to state taxes, recognition of tax benefits due to an agreement reached with the IRS related to a prior tax position, certain nondeductible items and the mix of income and losses across U.S. and non-U.S. jurisdictions. Changes in pretax income projections and the mix of income across jurisdictions could impact the effective tax rates in future quarters. Refer to Note 5. “Income Taxes” in Notes to Consolidated Financial Statements for additional information.</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was $3.50 in 2023 compared to $3.61 in 2022.</w:t>
      </w:r>
    </w:p>
    <w:p>
      <w:pPr>
        <w:spacing w:after="0" w:line="170"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diluted earnings per share from discontinued operations in 2023. Diluted loss per share from discontinued operations was $(0.24) in 2022.</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diluted earnings per share was $3.50 in 2023 compared to $3.37 in 2022.</w:t>
      </w:r>
    </w:p>
    <w:p>
      <w:pPr>
        <w:spacing w:after="0" w:line="170"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six million shares in 2023 for a total consideration of $298 million. As of December 30, 2023, $552 million remains available for stock repurchases under the current stock repurchase program. Subsequent to the end of 2023 and through February 21, 2024, we bought back 332 thousand shares of our common stock at a cost of $17 million.</w:t>
      </w:r>
    </w:p>
    <w:p>
      <w:pPr>
        <w:spacing w:after="0" w:line="123" w:lineRule="exact"/>
        <w:rPr>
          <w:rFonts w:ascii="Times New Roman" w:cs="Times New Roman" w:eastAsia="Times New Roman" w:hAnsi="Times New Roman"/>
          <w:sz w:val="18"/>
          <w:szCs w:val="18"/>
          <w:color w:val="auto"/>
        </w:rPr>
      </w:pPr>
    </w:p>
    <w:p>
      <w:pPr>
        <w:ind w:left="760" w:right="60" w:hanging="378"/>
        <w:spacing w:after="0" w:line="26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30, 2023, we had $392 million in cash and cash equivalents and $696 million of available credit under the Third Amended Credit Agreement (as defined in Note 9. “Debt” in Notes to Consolidated Financial Statements), for a total liquidity of approximately $1.1 billion. Cash provided by operating activities of continuing operations was $331 million in 2023 compared to cash provided by operating activities of $237 million in 2022. Refer to the “Liquidity and Capital Resources” section for further information on cash flows.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RESULTS BY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Discussion of additional income and expense items, including material charges and credits and changes in interest and income taxes follows our review of segment results. Fiscal years 2023 and 2021 include 52 weeks, and fiscal year 2022 includes 53 weeks.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ODP BUSINESS SOLUTIONS DIVISION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(external)</w:t>
            </w:r>
          </w:p>
        </w:tc>
        <w:tc>
          <w:tcPr>
            <w:tcW w:w="2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3,904</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4,005</w:t>
            </w:r>
          </w:p>
        </w:tc>
        <w:tc>
          <w:tcPr>
            <w:tcW w:w="3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3,602</w:t>
            </w:r>
          </w:p>
        </w:tc>
        <w:tc>
          <w:tcPr>
            <w:tcW w:w="60" w:type="dxa"/>
            <w:vAlign w:val="bottom"/>
          </w:tcPr>
          <w:p>
            <w:pPr>
              <w:spacing w:after="0"/>
              <w:rPr>
                <w:sz w:val="20"/>
                <w:szCs w:val="20"/>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(internal)</w:t>
            </w:r>
          </w:p>
        </w:tc>
        <w:tc>
          <w:tcPr>
            <w:tcW w:w="2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 of total sales</w:t>
            </w:r>
          </w:p>
        </w:tc>
        <w:tc>
          <w:tcPr>
            <w:tcW w:w="2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operating income</w:t>
            </w:r>
          </w:p>
        </w:tc>
        <w:tc>
          <w:tcPr>
            <w:tcW w:w="2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total sales</w:t>
            </w:r>
          </w:p>
        </w:tc>
        <w:tc>
          <w:tcPr>
            <w:tcW w:w="26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ODP Business Solutions Division decreased by $107 million, or 3%, in 2023 compared to 2022. This included the unfavorable impact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53rd week in 2022 not recurring in 2023, which had sales of $58 million. Our ODP Business Solutions Division experienced decreased sales across a majority of its product categories, primarily in personal protective equipment and technology, compared to 2022. This was driven by lower demand from business-to-business customers, due to reduced spending. We expect sales in our ODP Business Solutions Division to continue to be adversely impacted in the near term due to macroeconomic factors that continue to weigh on the U.S. economy, which can materially impact spending by our business-to-business customers and the demand for our products and services. The impact of the two small independent regional office supply distribution businesses we acquired in 2023 were not material to our sales.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ODP Business Solutions Division increased $398 million, or 11%, in 2022 compared to 2021. This included the favorable impact from the 53rd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 in 2022, which had sales of $58 million. In 2022, our ODP Business Solutions Division experienced higher demand across the majority of our product categories, including furniture, school and office supplies, copy and print services as well as personal protective equipment and cleaning supplies, which contributed $80 million to the sales increase. The higher demand was driven by the continued recovery of our business-to-business customers, including those in the education sector, from the disruptions to their operations as a result of the impacts of the COVID-19 pandemic. In addition to higher demand, inflationary initiatives also resulted in favorable pricing, which also contributed to the increase in sales. These increases were partially offset by a decline of $19 million in ink and toner sales, mainly as a result of supply challenges.</w:t>
      </w:r>
    </w:p>
    <w:p>
      <w:pPr>
        <w:spacing w:after="0" w:line="12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Sales include internal sales of $13 million, $19 million and $24 million in 2023, 2022 and 2021, respectively, which relate to ODP Business Solutions Division customers’ transactions held at Office Depot Division retail store locations. Internal sales are eliminated upon consolidation.</w:t>
      </w:r>
    </w:p>
    <w:p>
      <w:pPr>
        <w:spacing w:after="0" w:line="8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Our ODP Business Solutions Division sales could be adversely impacted in the near term by numerous factors, among others, a weaker U.S. economy and higher unemployment and inflation, that materially impact spending, the demand for our products and services and the availability of supply. Specifically, we experienced supply constraints in some of our larger product categories such as ink and technology products, and we may continue to face delays or difficulty sourcing these products.</w:t>
      </w:r>
    </w:p>
    <w:p>
      <w:pPr>
        <w:spacing w:after="0" w:line="11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changes in work environments as a result of the general macroeconomic environment, including ongoing remote work trends have been material to the results of the ODP Business Solutions Division in 2023. A prolonged or permanent shift to hybrid or continued remote work arrangements, as well as the substance and pace of macroeconomic recovery could continue to have a material impact to the future results of the ODP Business Solutions Division.</w:t>
      </w:r>
    </w:p>
    <w:p>
      <w:pPr>
        <w:spacing w:after="0" w:line="1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ODP Business Solutions Division operating income was $174 million in 2023 compared to $140 million in 2022, an increase of 24% year-over-year. Operating income as a percentage of sales increased 1% in 2023 compared to 2022. The improvement in operating income was mainly driven by favorable product margin, which resulted in 130 basis points higher gross profit margin. This was partially offset by the unfavorable impact of the 53rd week in 2022, which contributed $5 million to operating income in 2022. Our selling, general and administrative expenses as a percentage of sales was relatively flat compared to the corresponding period in the prior year.</w:t>
      </w:r>
    </w:p>
    <w:p>
      <w:pPr>
        <w:spacing w:after="0" w:line="10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ODP Business Solutions Division operating income was $140 million in 2022 compared to $72 million in 2021, an increase of 94% year-over-year. Operating income as a percentage of sales increased 1% in 2022 compared to 2021. The increase was mainly driven by the flow through impact of higher sales and higher gross profit, as well as the 53rd week in 2022, which contributed $5 million to operating income in 2022. Although we experienced higher supply chain and import costs due to the impacts of COVID-19 and cost inflation of fuel and labor costs, this was more than offset by adjustments to selling price and lower selling, general and administrative expenses as a percentage of sales. The improvement in our selling, general and administrative expenses is attributable to cost saving initiatives of our Maximize B2B restructuring program, which reduced costs in payroll, advertising and other operating expenses.</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DEPOT DIVISION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(external)</w:t>
            </w:r>
          </w:p>
        </w:tc>
        <w:tc>
          <w:tcPr>
            <w:tcW w:w="2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3,884</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4,451</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20"/>
                <w:szCs w:val="20"/>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(internal)</w:t>
            </w:r>
          </w:p>
        </w:tc>
        <w:tc>
          <w:tcPr>
            <w:tcW w:w="2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 of total sales</w:t>
            </w:r>
          </w:p>
        </w:tc>
        <w:tc>
          <w:tcPr>
            <w:tcW w:w="2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operating income</w:t>
            </w:r>
          </w:p>
        </w:tc>
        <w:tc>
          <w:tcPr>
            <w:tcW w:w="2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total sales</w:t>
            </w:r>
          </w:p>
        </w:tc>
        <w:tc>
          <w:tcPr>
            <w:tcW w:w="2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decrease</w:t>
            </w:r>
          </w:p>
        </w:tc>
        <w:tc>
          <w:tcPr>
            <w:tcW w:w="2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21"/>
                <w:szCs w:val="21"/>
                <w:color w:val="auto"/>
              </w:rPr>
            </w:pP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Office Depot Division decreased $569 million, or 13%, in 2023 compared to 2022. This included the unfavorable impact from the 53rd week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not recurring in 2023, which had sales of $70 million. The largest drivers of our product sales decline in 2023 were planned store closures, lower demand, and lower average order values in our stores as well as on our eCommerce platform. The sales decline in 2023 were across the majority of our product categories, except copy and print. The demand for these categories was impacted by reduced spending of our customers, including during the competitive back-to-school season in the third quarter of 2023.</w:t>
      </w:r>
    </w:p>
    <w:p>
      <w:pPr>
        <w:spacing w:after="0" w:line="12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Office Depot Division decreased $377 million, or 8%, in 2022 compared to 2021, including the positive impact of sales from the 53rd week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which was $70 million. We also had $70 million of increased sales in copy and print services, paper, school and breakroom supplies in 2022 compared to 2021, as more of our customers have transitioned to on-site work and in-person learning. This was more than offset by fewer transactions in the majority of our other product categories in 2022, as a result of both planned store closures and lower demand. This included technology, furniture and personal protective equipment products, which had experienced higher demand in 2021, driven by the needs of our customers to help address their challenges derived from the COVID-19 pandemic and included facilitating the continued remote work and virtual learning environments.</w:t>
      </w:r>
    </w:p>
    <w:p>
      <w:pPr>
        <w:spacing w:after="0" w:line="18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believe sales in our Office Depot Division may continue to be adversely impacted in the near term and potentially longer related to numerous factors, among others, a weaker U.S. economy and higher unemployment, that materially impact consumer spending, and the demand for our products and services.</w:t>
      </w:r>
    </w:p>
    <w:p>
      <w:pPr>
        <w:spacing w:after="0" w:line="8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Sales include internal sales of $34 million, $36 million and $34 million in 2023, 2022 and 2021, respectively, which relate to print services provided to the ODP Business Solutions Division as well as internal service fee for providing buy online, pick up in store (“BOPIS”) transactions to ODP Business Solutions Division customers. Internal sales are eliminated upon consolidation.</w:t>
      </w:r>
    </w:p>
    <w:p>
      <w:pPr>
        <w:spacing w:after="0" w:line="123"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Sales generated through our eCommerce platform include online sales fulfilled through warehouses, BOPIS transactions, online orders shipped from store, and same day delivery orders fulfilled with retail store inventory. These sales represented 30% of Office Depot Division’s total sales in 2023, as compared to 30% of total sales in 2022, and 29% of total sales in 2021.</w:t>
      </w:r>
    </w:p>
    <w:p>
      <w:pPr>
        <w:spacing w:after="0" w:line="12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Comparable store sales decreased 6% in 2023, reflecting lower store traffic and average order value, partially offset by higher conversion rate. A conversion rate is the percentage of store visitors who complete a purchase. The average order value was impacted by lower sales in our workspace and computer product categories. Our comparable store sales relate to stores that have been open for at least one year. Stores are removed from the comparable sales calculation one month prior to closing, as sales during that period are mostly related to clearance activity. Stores are also removed from the comparable sales calculation during periods of store remodeling, store closures due to hurricanes or natural disasters, or if significantly downsized. Our measure of comparable store sales has been applied consistently across periods but may differ from measures used by other companies.</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Office Depot Division operating income was $230 million in 2023, which decreased 19% as compared to $285 million in 2022, including the unfavorable impact from the 53rd week in 2022, which contributed $15 million to operating income in 2022. The reduction in operating income was mainly due to the flow through impact of lower sales. The gross margin rate was approximately 40 basis points higher, which was due to improved product margin, partially offset by the deleverage in distribution and occupancy costs due to lower sales. This was further offset by the impact of selling, general and administrative costs, resulting in a flat operating income as a percentage of sales compared to 2022.</w:t>
      </w:r>
    </w:p>
    <w:p>
      <w:pPr>
        <w:spacing w:after="0" w:line="12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Office Depot Division operating income was $285 million in 2022, which decreased 12% as compared to $325 million in 2021, including the positive impact of the 53rd week in 2022, which contributed $15 million to operating income in 2022. This decrease is mostly attributable to the flow-through impact of lower sales and higher supply chain costs, which offset our improved product margin rate. Our supply chain, import and occupancy costs were impacted by cost increases due to COVID-19, cost inflation of fuel and labor costs, and higher rent costs from lease renewals. Selling, general and administrative costs as a percentage of sales was flat compared to the corresponding period in the prior year.</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30, 2023, our Office Depot Division operated 916 retail stores in the United States, Puerto Rico and the U.S. Virgin Islands compared to 980 stores at the end of 2022. Charges associated with store closures as part of a restructuring plan are reported as appropriate in Asset impairments and Merger, restructuring and other operating expenses, net in the Consolidated Statements of Operations. In addition, as part of our periodic recoverability assessment of owned retail stores and distribution center assets, and operating lease ROU assets, we recognize impairment charges in the Asset impairments line item of our Consolidated Statements of Operations. These charges are reflected in Corporate reporting and are not included in the determination of Division operating income. Refer to the “Corporate” section below for additional information of expenses incurred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Open at</w:t>
            </w: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Open at</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38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4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jc w:val="right"/>
              <w:ind w:right="5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1,154</w:t>
            </w:r>
          </w:p>
        </w:tc>
        <w:tc>
          <w:tcPr>
            <w:tcW w:w="1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116</w:t>
            </w:r>
          </w:p>
        </w:tc>
        <w:tc>
          <w:tcPr>
            <w:tcW w:w="12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40"/>
        </w:trPr>
        <w:tc>
          <w:tcPr>
            <w:tcW w:w="5800" w:type="dxa"/>
            <w:vAlign w:val="bottom"/>
          </w:tcPr>
          <w:p>
            <w:pPr>
              <w:jc w:val="right"/>
              <w:ind w:right="5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8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1,038</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45"/>
        </w:trPr>
        <w:tc>
          <w:tcPr>
            <w:tcW w:w="5800" w:type="dxa"/>
            <w:vAlign w:val="bottom"/>
            <w:shd w:val="clear" w:color="auto" w:fill="CFF0FC"/>
          </w:tcPr>
          <w:p>
            <w:pPr>
              <w:jc w:val="right"/>
              <w:ind w:right="5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980</w:t>
            </w:r>
          </w:p>
        </w:tc>
        <w:tc>
          <w:tcPr>
            <w:tcW w:w="1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64</w:t>
            </w:r>
          </w:p>
        </w:tc>
        <w:tc>
          <w:tcPr>
            <w:tcW w:w="12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VEYER DIVISION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(external)</w:t>
            </w:r>
          </w:p>
        </w:tc>
        <w:tc>
          <w:tcPr>
            <w:tcW w:w="2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(internal)</w:t>
            </w:r>
          </w:p>
        </w:tc>
        <w:tc>
          <w:tcPr>
            <w:tcW w:w="2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5,253</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5,855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0"/>
                <w:szCs w:val="20"/>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 of total sales</w:t>
            </w:r>
          </w:p>
        </w:tc>
        <w:tc>
          <w:tcPr>
            <w:tcW w:w="2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operating income</w:t>
            </w:r>
          </w:p>
        </w:tc>
        <w:tc>
          <w:tcPr>
            <w:tcW w:w="2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total sales</w:t>
            </w:r>
          </w:p>
        </w:tc>
        <w:tc>
          <w:tcPr>
            <w:tcW w:w="26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3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Internal sales </w:t>
      </w:r>
      <w:r>
        <w:rPr>
          <w:rFonts w:ascii="Times New Roman" w:cs="Times New Roman" w:eastAsia="Times New Roman" w:hAnsi="Times New Roman"/>
          <w:sz w:val="18"/>
          <w:szCs w:val="18"/>
          <w:color w:val="auto"/>
        </w:rPr>
        <w:t>represent sales of product and supply chain services provided to our Office Depot Division and ODP Business Solutions Division,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sold to third-party customers through those divisions. Internal sales of product are made at a price that includes a service fee to the cost of product we source from third-party vendors, net of the impact of vendor income, and certain other adjustments. Internal sales of services represent supply chain and logistics support services, which include warehousing, shipping and handling, returns and others. These internal sales of services are also provided to the Office Depot Division and the ODP Business Solutions Division, at a service fee over cost. Internal sales are eliminated upon consolidation.</w:t>
      </w:r>
    </w:p>
    <w:p>
      <w:pPr>
        <w:spacing w:after="0" w:line="13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Veyer Division aims to be the lowest cost provider to the Office Depot Division and the ODP Business Solutions Division, with the purpose of achieving the most favorable outcome for our Company’s consolidated results. As a result, Veyer Division’s internal sales and profitability related to these internal sales could be impacted by activities that we may undertake to drive efficiencies in the Veyer Division, as well as decisions made by the Office Depot Division and ODP Business Solutions Division for alternative sourcing options to meet customer needs.</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2023, 2022, and 2021, $2.7 billion, $2.9 billion and $3.3 billion of internal sales are to the Office Depot Division, respectively, and $2.5 billion, $2.9 billion and $2.7 billion are to the ODP Business Solutions Division, respectively. The decrease in internal sales to the Office Depot Division is related to the decline in customer demand at our retail stores and eCommerce platform, which is discussed further in the Office Depot Division section above. The decrease in internal sales to the ODP Business Solutions Division is related to reduced demand experienced by ODP Business Solutions Division across a majority of its product categories, which is discussed further in the ODP Business Solutions Division section above. These decreases were further impacted by the 53rd week in 2022, which did not exist in 2023.</w:t>
      </w:r>
    </w:p>
    <w:p>
      <w:pPr>
        <w:spacing w:after="0" w:line="130" w:lineRule="exact"/>
        <w:rPr>
          <w:sz w:val="20"/>
          <w:szCs w:val="20"/>
          <w:color w:val="auto"/>
        </w:rPr>
      </w:pPr>
    </w:p>
    <w:p>
      <w:pPr>
        <w:ind w:right="520"/>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External sales </w:t>
      </w:r>
      <w:r>
        <w:rPr>
          <w:rFonts w:ascii="Times New Roman" w:cs="Times New Roman" w:eastAsia="Times New Roman" w:hAnsi="Times New Roman"/>
          <w:sz w:val="17"/>
          <w:szCs w:val="17"/>
          <w:color w:val="auto"/>
        </w:rPr>
        <w:t>represent supply chain services provided to third parties, as well as product sales by our Asia sourcing operation to third parties. The $7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increase in external sales was driven by supply chain services provided to third parties. External sales were flat in 2022 as compared to 2021.</w:t>
      </w:r>
    </w:p>
    <w:p>
      <w:pPr>
        <w:spacing w:after="0" w:line="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Veyer Division operating income was $34 million in 2023 compared to $28 million in 2022. The year-over-year increase of $6 million was mainly due to the favorable impacts of higher sales to third parties and lower product costing on our Veyer Division’s gross profit, which more than offset the impact of lower internal sales. This was partially offset by the impact of higher employee-related costs in 2023. Our Veyer Division operating income was $28 million in 2022 compared to $30 million in 2021. The year-over-year decrease of $2 million was mainly due to the flow through impact of lower sales. Future performance of our Veyer Division is dependent upon market conditions in the transportation and logistics industry, including fluctuations in labor and fuel costs, and its ability to pass any cost increases through to its customers.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VARIS DIVISION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(external)</w:t>
            </w:r>
          </w:p>
        </w:tc>
        <w:tc>
          <w:tcPr>
            <w:tcW w:w="2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(internal)</w:t>
            </w:r>
          </w:p>
        </w:tc>
        <w:tc>
          <w:tcPr>
            <w:tcW w:w="2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change of total sales</w:t>
            </w:r>
          </w:p>
        </w:tc>
        <w:tc>
          <w:tcPr>
            <w:tcW w:w="27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14 %</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1"/>
                <w:szCs w:val="2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operating loss</w:t>
            </w:r>
          </w:p>
        </w:tc>
        <w:tc>
          <w:tcPr>
            <w:tcW w:w="2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(63 )</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(66 )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total sales</w:t>
            </w:r>
          </w:p>
        </w:tc>
        <w:tc>
          <w:tcPr>
            <w:tcW w:w="27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Varis Division were $8 million, $7 million, and $5 million in 2023, 2022, and 2021, respectively. Our Varis Division was formed in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sales since then is driven by the acquisition of BuyerQuest in the first quarter of 2021, and addition of new customers to the platform. Sales predominantly relate to subscription services.</w:t>
      </w:r>
    </w:p>
    <w:p>
      <w:pPr>
        <w:spacing w:after="0" w:line="1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Varis Division operating loss was $63 million in 2023, compared to a loss of $66 million in 2022, a decrease of 5%, which was driven by lower employee-related costs. We incurred costs related to amortization of internally developed software, which represent investments in the resources required to expand and scale the technology platform. These costs were offset by the reduction in employee-related costs, discussed above. We expect that our Varis Division will require continued investment to develop software to meet customer needs in the future. Our Varis Division operating loss increased $32 million, or 94%, in 2022 compared to 2021, which was driven by investments in the resources required to expand and scale the technology platform and upgraded product offerings. The costs were mainly related to payroll, third-party professional fees, and amortization of internally developed software.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line items in our Consolidated Statements of Operations impacted by Corporate activities are presented in the table below, followed by a narrative discussion of the significant matters. These activities are managed at the Corporate level and, accordingly, are not included in the determination of Division income for management reporting or external disclosures.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restructuring and other operating expenses, net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charges and credits impact on Operating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r>
    </w:tbl>
    <w:p>
      <w:pPr>
        <w:spacing w:after="0" w:line="143"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In addition to these charges and credits, certain selling, general and administrative expenses are not allocated to the Divisions and are managed at the Corporate level. Those expenses are addressed in the section “Unallocated Expenses”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impairment charges comprise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stores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 impairments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2023, 2022 and 2021, we recognized asset impairment charges of $85 million, $14 million and $20 million, respectively, related to our continuing operations. Of the asset impairment charges in 2023, $68 million was related to the impairment of goodwill in our Varis Division and $12 million was related to the impairment of operating lease ROU assets associated with our retail store locations. The remainder was related to impairment of fixed assets at these retail store locations and other impairments. Of the asset impairment charges in 2022, $12 million was related to impairment of operating lease ROU assets associated with our retail store locations, and the remainder was related to the impairment of fixed assets at these retail store locations.</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regularly review retail store assets for impairment indicators at the individual store level, as this represents the lowest level of identifiable cash flows. When indicators of impairment are present, a recoverability analysis is performed which considers the estimated undiscounted cash flows over the retail store’s remaining life and uses inputs from retail operations and accounting and finance personnel. These inputs include our best estimates of retail store-level sales, gross margins, direct expenses, exercise of future lease renewal options when reasonably certain to be exercised, and resulting cash flows, which, by their nature, include judgments about how current initiatives will impact future performance. In 2023, the assumptions used within the recoverability analysis for the retail stores were updated to consider current quarter retail store operational results and formal plans for future retail store closures as part of our restructuring programs, including the probability of closure at the retail store level. While it is generally expected that closures will approximate the store’s lease termination date, it is possible that changes in store performance or other conditions could result in future changes in assumptions utilized. In addition, the assumptions used reflected declining sales over the forecast period, and gross margin and operating cost assumptions that are consistent with recent actual results and consider plans for future initiatives. If the undiscounted cash flows of a retail store cannot support the carrying amount of its assets, the assets are impaired and written down to estimated fair value.</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test our goodwill and indefinite-lived intangible assets for impairment annually as of the first day of fiscal December or more frequently when events or changes in circumstances indicate that impairment may have occurred. During the fourth quarter of 2023, we performed our annual impairment assessment, which was as of the first day of fiscal month December. We used a quantitative assessment for our Varis reporting unit, which comprises our Varis Division, and qualitative assessments for all other reporting units. The quantitative assessment for our Varis reporting unit combined the income approach and the market approach valuation methodologies and concluded that its carrying value exceeded its fair value. As a result, we recorded a non-cash impairment charge of $68 million in the fourth quarter of 2023. The decline in the fair value of our Varis reporting unit has mainly resulted from changes to its projected revenue growth rates and timeline, which were finalized during our annual long-term planning process in the fourth quarter of 2023. Our Varis reporting unit has been in operation since 2021, therefore we have less experience estimating the operating performance of this reporting unit. Its expected revenue increase has been slower than anticipated due to the time it requires to ramp up activity for new customers. In addition, during our long-term planning process, we made adjustments to reduce our forecasted spend on Varis in 2024 and beyond, which further impacted expected revenue growth rates and their timing. These changes in critical assumptions resulted in a reduction in its estimated fair value.</w:t>
      </w:r>
    </w:p>
    <w:p>
      <w:pPr>
        <w:spacing w:after="0" w:line="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Refer to Note 8. “Goodwill and Other Intangible Assets” in Notes to Consolidated Financial Statements for additional information. If the operating results of our reporting units deteriorate in the future, it may cause the fair value of one or more of the reporting units to fall below their carrying value, resulting in goodwill impairment charges. Further, while we are currently in a strong liquidity and capital position, a significant deterioration may have a material impact on our liquidity and capital in future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restructuring and other operating expenses, net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taken actions to optimize our asset base and drive operational efficiencies. These actions include acquiring profitable businesses, closing underperforming retail stores and non-strategic distribution facilities, consolidating functional activities, eliminating redundant positions and disposing of non-strategic businesses and assets. In 2022 and 2021, we also incurred costs related to our actions to separate our consumer business through a potential sale, prior to our Board of Directors’ decision on June 21, 2022 to maintain the consumer business under common ownership. In addition, we incurred costs related to completing the re-alignment of operations into four Divisions in 2022, which also represent our current reportable segments. The expenses and any income recognized directly associated with these actions are included in Merger, restructuring and other operating expenses, net on a separate line in the Consolidated Statements of Operations in order to identify these activities apart from the expenses incurred to sell to and service customers. These expenses are not included in the determination of Division operating income. Merger, restructuring and other operating expenses, net were $4 million, $39 million and $51 million in 2023, 2022 and 2021, respectively. Refer to Note 3. “Merger, Restructuring and Other Activity” in Notes to Consolidated Financial Statements for an additional analysis of these Corporate charges.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allocate to our Divisions functional support expenses that are considered to be directly or closely related to segment activity. These allocated expenses are included in the measurement of Division operating income. Other companies may charge more or less for functional support expenses to their segments, and our results, therefore, may not be comparable to similarly titled measures used by other companies. The unallocated expenses primarily consist of the buildings used for our corporate headquarters and personnel not directly supporting the Divisions, including certain executive, finance, legal, audit and similar functions. Unallocated expenses were $85 million, $91 million, and $88 million in 2023, 2022 and 2021, respectively. The decrease in 2023 compared to 2022 was primarily due to lower Corporate professional fees and insurance expenses.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9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94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(20 )</w:t>
            </w:r>
          </w:p>
        </w:tc>
        <w:tc>
          <w:tcPr>
            <w:tcW w:w="42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9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April 2020, we entered into the Third Amended Credit Agreement which provided for an aggregate principal amount of up to $1.3 billion asset-based revolving credit facility and asset-based FILO Term Loan Facility, maturing in April 2025. In 2022, we reduced our asset-based revolving credit facility by $200 million to $1.0 billion and retired $43 million of outstanding FILO Term Loan Facility loans under the Third Amended Credit Agreement. In 2023, we retired $4 million of outstanding FILO Term Loan Facility loans. We recorded $6 million, $4 million and $5 million of interest expense in 2023, 2022 and 2021, respectively, related to the Third Amended Credit Agreement. We also recorded interest expense related to our finance lease obligations and revenue bonds in all periods presented. Interest expense in 2022 also includes $3 million of income related to reversal of uncertain tax positions.</w:t>
      </w:r>
    </w:p>
    <w:p>
      <w:pPr>
        <w:spacing w:after="0" w:line="132"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Other income, net includes the pension credit related to the frozen OfficeMax pension and other benefit plans, as well as the pension credit related to the pension plan in the United Kingdom that has been retained by us in connection with the sale of the European Business. We also recorded $7 million of other income, net related to the release of certain liabilities of our former European Business in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0"/>
                <w:szCs w:val="20"/>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40" w:type="dxa"/>
            <w:vAlign w:val="bottom"/>
          </w:tcPr>
          <w:p>
            <w:pPr>
              <w:spacing w:after="0"/>
              <w:rPr>
                <w:sz w:val="20"/>
                <w:szCs w:val="20"/>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31 %</w:t>
            </w:r>
          </w:p>
        </w:tc>
        <w:tc>
          <w:tcPr>
            <w:tcW w:w="380" w:type="dxa"/>
            <w:vAlign w:val="bottom"/>
          </w:tcPr>
          <w:p>
            <w:pPr>
              <w:spacing w:after="0"/>
              <w:rPr>
                <w:sz w:val="20"/>
                <w:szCs w:val="20"/>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26 %</w:t>
            </w:r>
          </w:p>
        </w:tc>
        <w:tc>
          <w:tcPr>
            <w:tcW w:w="3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0"/>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4794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Income taxes as a percentage of income from continuing operations before income taxes.</w:t>
      </w:r>
    </w:p>
    <w:p>
      <w:pPr>
        <w:spacing w:after="0" w:line="122"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During 2023 and 2022, the mix of income and losses across jurisdictions, although still applicable, has become less of a factor in influencing our effective tax rates due to limited international operations and improved operating results. Our effective tax rates were 31%, 26% and 19% in 2023, 2022 and 2021, respectively.</w:t>
      </w:r>
    </w:p>
    <w:p>
      <w:pPr>
        <w:spacing w:after="0" w:line="6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2023, our effective tax rate was primarily impacted by the goodwill impairment in our Varis Division, the recognition of a tax windfall associated with stock-based compensation awards, recognition of 2022 and 2023 Research and Development tax credits, and certain nondeductible items. These factors, along with the impact of state taxes and the mix of income and losses across U.S. and non-U.S. jurisdictions, caused our effective tax rate of 31% for 2023 to differ from the statutory rate of 21%. Our effective tax rate for prior periods has varied considerably primarily due to stock-based compensation awards, recognition of tax benefits due to state taxes, recognition of tax benefits due to an agreement reached with the IRS related to a prior tax position, certain nondeductible items and the mix of income and losses across U.S. and non-U.S. jurisdictions. Changes in pretax income projections and the mix of income across jurisdictions could impact our effective tax rates in future quarters.</w:t>
      </w:r>
    </w:p>
    <w:p>
      <w:pPr>
        <w:spacing w:after="0" w:line="13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continue to have a U.S. valuation allowance for certain U.S. Federal credits and state tax attributes, which relate to deferred tax assets that require either certain types of income or for income to be earned in certain jurisdictions in order to be realized. We will continue to assess the realizability of our deferred tax assets in the U.S. and remaining foreign jurisdictions in future periods. Changes in pretax income projections could impact this evaluation in future periods.</w:t>
      </w:r>
    </w:p>
    <w:p>
      <w:pPr>
        <w:spacing w:after="0" w:line="12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It is anticipated that $5 million of the unfavorable material tax positions will be resolved within the next 12 months. Additionally, we anticipate that it is reasonably possible that new issues will be raised or resolved by tax authorities that may require changes to the balance of unrecognized tax benefits; however, an estimate of such changes cannot reasonably be made.</w:t>
      </w:r>
    </w:p>
    <w:p>
      <w:pPr>
        <w:spacing w:after="0" w:line="1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file a U.S. Federal income tax return and other income tax returns in various states and foreign jurisdictions. With few exceptions, we are no longer subject to U.S. Federal and state and local income tax examinations for years before 2020 and 2017, respectively. The acquired OfficeMax U.S. consolidated group is no longer subject to U.S. Federal income tax examination and with few exceptions, is no longer subject to U.S. state and local income tax examinations for years prior to 2017. Our U.S. Federal income tax returns for 2021 and 2022 are currently under review. Generally, we are subject to routine examination for years 2017 and forward in our international tax jurisdictions.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“Income Taxes” in Notes to Consolidated Financial Statements for additional tax discussion.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Refer to Note 16. “Discontinued Operations” in Notes to Consolidated Financial Statements for information regarding the CompuCom Division which is accounted for as discontinued operations.</w:t>
      </w:r>
    </w:p>
    <w:p>
      <w:pPr>
        <w:sectPr>
          <w:pgSz w:w="11900" w:h="16838" w:orient="portrait"/>
          <w:cols w:equalWidth="0" w:num="1">
            <w:col w:w="11300"/>
          </w:cols>
          <w:pgMar w:left="320" w:top="769" w:right="279" w:bottom="1440" w:gutter="0" w:footer="0" w:header="0"/>
        </w:sectPr>
      </w:pP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30, 2023 and December 31, 2022, we had $392 million and $403 million in cash and cash equivalents, respectively, and $696 million and</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$856 million of available credit under the Third Amended Credit Agreement (as defined in Note 9. “Debt” in Notes to Consolidated Financial Statements), respectively, for a total liquidity of approximately $1.1 billion and $1.3 billion at the end of fiscal 2023 and fiscal 2022, respectively. We sold our Company’s corporate headquarters in Boca Raton in April 2023 for $104 million, which increased our cash and cash equivalents and liquidity. This was partially offset by an $83 million reduction in our available credit under the Third Amended Credit Agreement as a result of this sale. Despite the weaker global economic conditions and the uncertainties related to the current macroeconomic environment, we currently believe that as a result of our strong financial position, including our cash and cash equivalents on hand, availability of funds under the Third Amended Credit Agreement, and future year cash flows generated from operations, we will be able to fund our working capital, capital expenditures, debt repayments, common stock repurchases, dividends (if any), merger integration and restructuring expenses, and future acquisitions consistent with our strategic growth initiatives for at least the next twelve months from the date of this Annual Report on Form 10-K. From time to time, we may prepay outstanding debt and/or restructure or refinance debt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disclosed in Note 9. “Debt” in Notes to Consolidated Financial Statements, on April 17, 2020, we entered into the Third Amended and Restated Credit Agreement, which provided for a $1.2 billion asset-based revolving credit facility and a $100 million asset-based FILO Term Loan Facility, for an aggregate principal amount of up to $1.3 billion (the “New Facilities”). The New Facilities mature in April 2025. The Third Amended and Restated Credit Agreement replaced our then existing amended and restated credit agreement that was due to mature in May 2021. In 2022, we reduced our asset-based revolving credit facility by $200 million to $1.0 billion and retired $43 million of outstanding FILO Term Loan Facility loans under the Third Amended Credit Agreement. Also, during the first quarter of 2023, the Third Amended Credit Agreement was amended to replace the LIBOR-based Eurocurrency reference interest rate option with a reference interest rate option based upon SOFR. Other than the foregoing, the material terms of the Third Amended Credit Agreement remain unchanged.</w:t>
      </w:r>
    </w:p>
    <w:p>
      <w:pPr>
        <w:spacing w:after="0" w:line="13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2023, we elected to draw down $200 million under the Third Amended Credit Agreement to fund the repurchase of our common stock from HG Vora Special Opportunities Master Fund, Ltd. (“HG Vora”) as part of our existing $1 billion stock repurchase program, as well as for working capital management and timing of collections and disbursements. We repaid this amount, resulting in no revolving loans outstanding at December 30, 2023. In 2023, we retired $4 million of outstanding FILO Term Loan Facility loans. At December 30, 2023, we had $53 million of outstanding FILO Term Loan Facility loans, $38 million of outstanding standby letters of credit and $696 million of available credit under the Third Amended Credit Agreement. We were in compliance with all applicable covenants at December 30, 2023. In January 2024, we retired $53 million of outstanding FILO Term Loan Facility loans. This was funded through available liquidity.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 and dispositions</w:t>
      </w:r>
    </w:p>
    <w:p>
      <w:pPr>
        <w:spacing w:after="0" w:line="17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In addition to the business acquisitions disclosed herein, we have evaluated, and expect to continue to evaluate, possible acquisitions and dispositions of businesses and assets in connection with our strategic transformation. Such transactions may be material and may involve cash, our securities or the incurrence of additional 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73"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 2024, we expect to incur capital expenditures of up to approximately $100 million, including investments to support our business priorities. These expenditures will be funded through available cash on hand and operating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Return Programs – Share Repurchases and Dividends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2022, our Board of Directors approved a stock repurchase program of up to $1 billion, available through December 31, 2025 to replace the existing $600 million stock repurchase program effective November 3, 2022. We repurchased six million shares in 2023 for a total consideration of $298 million. Of the total shares repurchased, two million shares were purchased from HG Vora for a cost of $89 million pursuant to the related stock purchase agreement that the Company entered into with HG Vora, effective March 13, 2023. As of December 30, 2023, $552 million remains available for stock repurchases under the current stock repurchase program. In February 2024, the Company’s Board of Directors approved a new stock repurchase program of up to $1 billion of its common stock, available through March 31, 2027, which replaced the then existing $1 billion stock repurchase program. Subsequent to the end of fiscal 2023 and through February 21, 2024, we repurchased 332 thousand shares of our common stock at a cost of $17 million.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authorization may be suspended or discontinued at any time. The stock repurchase authorization permits us to repurchase stock from time-to-time through a combination of open market repurchases, privately negotiated transactions, 10b5-1 trading plans, accelerated stock repurchase transactions and/or other derivative transactions. The exact number and timing of stock repurchases will depend on market conditions and other factors and will be funded through available cash balances. Our Third Amended Credit Agreement permits restricted payments, such as common stock repurchases, but may be limited if we do not meet the required minimum liquidity or fixed charge coverage ratio requirements. The authorized amount under the stock repurchase program excludes fees, commissions, taxes or other expenses.</w:t>
      </w:r>
    </w:p>
    <w:p>
      <w:pPr>
        <w:spacing w:after="0" w:line="13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did not declare any cash dividends in 2023. We do not anticipate declaring cash dividends in the foreseeable future. Our Third Amended Credit Agreement permits restricted payments, such as dividends, but may be limited if we do not meet the required minimum liquidity or fixed charge coverage ratio requirements.</w:t>
      </w:r>
    </w:p>
    <w:p>
      <w:pPr>
        <w:spacing w:after="0" w:line="1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will continue to evaluate our capital return programs as appropriate. Decisions regarding future share repurchases and dividends are within the discretion of our Board of Directors, and depend on a number of factors, including, general business and economic conditions, which includes the impact of COVID-19 on such conditions, and other factors which are discussed in this discussion and analysis and “Risk Factors” within Other Key Information in this Annual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(used in) operating, investing and financing activities of continuing operations is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19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344</w:t>
            </w: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 of continuing operations</w:t>
            </w:r>
          </w:p>
        </w:tc>
        <w:tc>
          <w:tcPr>
            <w:tcW w:w="19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 of continuing operations</w:t>
            </w:r>
          </w:p>
        </w:tc>
        <w:tc>
          <w:tcPr>
            <w:tcW w:w="19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(340 )</w:t>
            </w:r>
          </w:p>
        </w:tc>
        <w:tc>
          <w:tcPr>
            <w:tcW w:w="4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(355 )</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(459 )</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 from Continuing Operations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from continuing operations was $331 million in 2023, compared to $237 million in 2022. This increase in cash flows from operating activities was primarily driven by $73 million more cash inflows from working capital, and $21 million more income from operations, after adjusting for non-cash charges. Working capital is influenced by a number of factors, including period end sales, the flow of goods, credit terms, timing of customer promotions, vendor production planning, new product introductions and working capital management. In 2023, the primary drivers for higher cash flows from working capital were $83 million more cash flows from our receivables and $34 million increase in cash flows from our inventories, partially offset by $38 million less cash flows from our trade payables and other liabilities. The change in our receivables is due to lower sales on credit and timing. The change in our inventories is mainly attributable to purchase volume. The higher outflows related to our trade payables and other liabilities was mainly due to timing of payments and less purchase volume.</w:t>
      </w:r>
    </w:p>
    <w:p>
      <w:pPr>
        <w:spacing w:after="0" w:line="13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Cash provided by operating activities of continuing operations decreased by $107 million during 2022 when compared to 2021. This decrease was primarily driven by $123 million less cash inflows from working capital, and $30 million less income from operations, after adjusting for non-cash charges, partially offset by $46 million higher usage of deferred tax assets.</w:t>
      </w:r>
    </w:p>
    <w:p>
      <w:pPr>
        <w:spacing w:after="0" w:line="123"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8"/>
          <w:szCs w:val="18"/>
          <w:color w:val="auto"/>
        </w:rPr>
        <w:t>For our accounting policy on cash management, refer to Note 1. “Summary of Significant Accounting Policies” in Notes to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 from Continuing Operations</w:t>
      </w:r>
    </w:p>
    <w:p>
      <w:pPr>
        <w:spacing w:after="0" w:line="1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Cash used in investing activities from continuing operations was $7 million in 2023, which was driven by $105 million in capital expenditures associated with improvements in our service platform, distribution network, and eCommerce capabilities, and $16 million in businesses acquired, net of cash acquired. These outflows were partially offset by the proceeds from sale of assets of $109 million and cash proceeds from our company-owned life insurance policies of $5 million.</w:t>
      </w:r>
    </w:p>
    <w:p>
      <w:pPr>
        <w:spacing w:after="0" w:line="128"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of continuing operations was $86 million in 2022, primarily driven by $99 million in capital expenditures associated with improvements in our service platform, distribution network, and eCommerce capabilities. These outflows were partially offset by the proceeds from sale of assets of $8 million and cash proceeds from our company-owned life insurance policies of $5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 from Continuing Operations</w:t>
      </w:r>
    </w:p>
    <w:p>
      <w:pPr>
        <w:spacing w:after="0" w:line="17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Cash used in financing activities of continuing operations was $340 million in 2023. The cash outflow in 2023 primarily consisted of $295 million in repurchases of common stock including commission, $26 million share purchases for taxes, net of proceeds, for employee share-based transactions, and $15 million of net payments on short- and long-term borrowings activity related to our debt, including retirement.</w:t>
      </w:r>
    </w:p>
    <w:p>
      <w:pPr>
        <w:sectPr>
          <w:pgSz w:w="11900" w:h="16838" w:orient="portrait"/>
          <w:cols w:equalWidth="0" w:num="1">
            <w:col w:w="11240"/>
          </w:cols>
          <w:pgMar w:left="320" w:top="768"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Cash used in financing activities of continuing operations was $355 million in 2022, primarily consisting of $266 million in repurchases of common stock including commission, $64 million of net payments on short- and long-term borrowings activity related to our debt, including retirement, and $20 million share purchases for taxes, net of proceeds, for employee share-based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(used in) operating, investing and financing activities of discontinued operations is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 of discontinued operations</w:t>
            </w: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 of discontinued operations</w:t>
            </w:r>
          </w:p>
        </w:tc>
        <w:tc>
          <w:tcPr>
            <w:tcW w:w="1920" w:type="dxa"/>
            <w:vAlign w:val="bottom"/>
          </w:tcPr>
          <w:p>
            <w:pPr>
              <w:spacing w:after="0"/>
              <w:rPr>
                <w:sz w:val="20"/>
                <w:szCs w:val="20"/>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 of discontinued operations</w:t>
            </w:r>
          </w:p>
        </w:tc>
        <w:tc>
          <w:tcPr>
            <w:tcW w:w="19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bl>
    <w:p>
      <w:pPr>
        <w:spacing w:after="0" w:line="14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There were no cash flows related to operating activities of discontinued operations in 2023 or 2022. Cash used in operating activities from discontinued operations was $2 million in 2021. The change in operating cash flows of discontinued operations in the comparative periods was primarily driven by the sale of our CompuCom Division on December 31, 2021.</w:t>
      </w:r>
    </w:p>
    <w:p>
      <w:pPr>
        <w:spacing w:after="0" w:line="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Cash flows provided by investing activities of discontinued operations was $5 million in 2023, compared to cash flows provided by investing activities from discontinued operations of $76 million in 2022. The cash flows in 2023 represent proceeds from the purchaser to settle the cash, debt, and working capital adjustments related to the sale of our CompuCom division. The cash flow in the comparative period reflects proceeds received from the sale of our CompuCom Division, net of cash sold and selling costs, on December 31, 2021. In addition, 2022 includes $10 million of insurance proceeds received related to the malware incident in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Contractual obligations for future payments at December 30, 2023 primarily relate to operating and finance lease commitments, obligations under our long-term debt, and purchase commitments.</w:t>
      </w:r>
    </w:p>
    <w:p>
      <w:pPr>
        <w:spacing w:after="0" w:line="10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Operating and financing leases represent minimum required lease payments during the noncancelable lease term. Most real estate leases also require payment of related operating expenses such as taxes, insurance, utilities, and maintenance, which are not included in our estimated lease obligation. Refer to Note 10. “Leases” in Notes to Consolidated Financial Statements for the maturities of our operating and finance lease obligations.</w:t>
      </w:r>
    </w:p>
    <w:p>
      <w:pPr>
        <w:spacing w:after="0" w:line="1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Long-term debt obligations consist primarily of expected payments of principal and interest on our $53 million of outstanding FILO Term Loan Facility loans under the Third Amended Credit Agreement and $91 million of revenue bonds and gold debentures at various interest rates. Refer to Note 9. “Debt” in Notes to Consolidated Financial Statements for the maturities of our long-term debt obligations.</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Purchase obligations include all commitments to purchase goods or services of either a fixed or minimum quantity that are enforceable and legally binding on us that meet any of the following criteria: (1) they are non-cancelable, (2) we would incur a penalty if the agreement was cancelled, or (3) we must make specified minimum payments even if we do not take delivery of the contracted products or services. If the obligation is non-cancelable, the entire value of the contract is included as a purchase obligation. If the obligation is cancelable, but we would incur a penalty if cancelled, the dollar amount of the penalty is included as a purchase obligation. If we can unilaterally terminate an agreement simply by providing a certain number of days’ notice or by paying a termination fee, the amount of the termination fee or the amount that would be paid over the “notice period” is included as a purchase obligation. As of December 30, 2023, purchase obligations include marketing services, outsourced accounting services, certain fixed assets and software licenses, service and maintenance contracts for information technology and communication.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Consolidated Balance Sheet as of December 30, 2023 includes $123 million classified as Deferred income taxes and other long-term liabilities. Deferred income taxes and other long-term liabilities primarily consist of net long-term deferred income taxes, deferred lease credits, long-term restructuring accruals, certain liabilities under our deferred compensation plans, accruals for uncertain tax positions, and environmental accruals. Refer to Note 3. “Merger, Restructuring and Other Activity” in Notes to Consolidated Financial Statements for a discussion of our restructuring accruals and Note 5. “Income Taxes” in Notes to Consolidated Financial Statements for additional information regarding our deferred tax positions and accruals for uncertain tax positions.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Consolidated Balance Sheet as of December 30, 2023 also includes $16 million of current and non-current pension and postretirement obligations. Our estimate is that payments in future years will total $25 million. This estimate represents the minimum contributions required per Internal Revenue Service funding rules and our estimated future payments under pension and postretirement plans. Actuarially-determined liabilities related to pension and postretirement benefits are recorded based on estimates and assumptions. Key factors used in developing estimates of these liabilities include assumptions related to discount rates, rates of return on investments, healthcare cost trends, benefit payment patterns and other factors. Changes in assumptions related to the measurement of funded status could have a material impact on the amount reported. Refer to Note 13. “Employee Benefit Plans” in Notes to Consolidated Financial Statements for additional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we have outstanding standby letters of credit totaling $38 million at December 30,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Preparation of these statements requires management to make judgments and estimates. Some accounting policies and estimates have a significant impact on amounts reported in these financial statements. A summary of significant accounting policies can be found in Note 1. “Summary of Significant Accounting Policies” in Notes to Consolidated Financial Statements. We have also identified certain accounting policies and estimates that we consider critical to understanding our business and our results of operations and we have provided below additional information on those policies.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Inventory valuation </w:t>
      </w:r>
      <w:r>
        <w:rPr>
          <w:rFonts w:ascii="Times New Roman" w:cs="Times New Roman" w:eastAsia="Times New Roman" w:hAnsi="Times New Roman"/>
          <w:sz w:val="18"/>
          <w:szCs w:val="18"/>
          <w:color w:val="auto"/>
        </w:rPr>
        <w:t>— Inventories are stated at the lower of weighted average cost or net realizable value. We monitor active inventory for excessive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quantities and slow-moving items and record adjustments as necessary to lower the value if the anticipated realizable amount is below cost. We also identify merchandise that we plan to discontinue or have begun to phase out and assess the estimated recoverability of the carrying value. This includes consideration of the quantity of the merchandise, the rate of sale, and our assessment of current and projected market conditions and anticipated vendor programs. If necessary, we record a charge to cost of sales to reduce the carrying value of this merchandise to our estimate of the lower of cost or realizable amount. Additional promotional activities may be initiated, and markdowns may be taken as considered appropriate until the product is sold or otherwise disposed. Estimates and judgments are required in determining what items to stock and at what level, and what items to discontinue and how to value them prior to sale.</w:t>
      </w:r>
    </w:p>
    <w:p>
      <w:pPr>
        <w:spacing w:after="0" w:line="13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We also recognize an expense in cost of sales for our estimate of physical inventory loss from theft, short shipments and other factors — referred to as inventory shrink. During the year, we adjust the estimate of our inventory shrink rate accrual following on-hand adjustments and our physical inventory count results. These changes in estimates may result in volatility within the year or impact comparisons to other periods.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Vendor arrangements </w:t>
      </w:r>
      <w:r>
        <w:rPr>
          <w:rFonts w:ascii="Times New Roman" w:cs="Times New Roman" w:eastAsia="Times New Roman" w:hAnsi="Times New Roman"/>
          <w:sz w:val="18"/>
          <w:szCs w:val="18"/>
          <w:color w:val="auto"/>
        </w:rPr>
        <w:t>— Inventory purchases from vendors are generally under arrangements that automatically renew until cancelled with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updates or annual negotiated agreements. Many of these arrangements require the vendors to make payments to us or provide credits to be used against purchases if and when certain conditions are met. We refer to these arrangements as “vendor programs.” Vendor programs fall into two broad categories, with some underlying sub-categories. The first category is volume-based rebates. Under those arrangements, our product costs per unit decline as higher volumes of purchases are reached. Current accounting rules provide that companies with a reasonable basis for estimating their full year purchases, and therefore the ultimate rebate level, can use that estimate to value inventory and cost of goods sold throughout the year. We believe our history of purchases with many vendors provides us with a basis for our estimates of purchase volume. If the anticipated volume of purchases is not reached, however, or if we form the belief at any point in the year that it is not likely to be reached, cost of goods sold and the remaining inventory balances are adjusted to reflect that change in our outlook. We review sales projections and related purchases against vendor program estimates at least quarterly and adjust these balances accordingly.</w:t>
      </w:r>
    </w:p>
    <w:p>
      <w:pPr>
        <w:spacing w:after="0" w:line="13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second broad category of arrangements with our vendors is event-based programs. These arrangements can take many forms, including advertising support, special pricing offered by certain of our vendors for a limited time, payments for special placement or promotion of a product, reimbursement of costs incurred to launch a vendor’s product, and various other special programs. These payments are classified as a reduction of costs of goods sold or inventory, based on the nature of the program and the sell-through of the inventory. Some arrangements may meet the specific, incremental, identifiable cost criteria that allow for direct operating expense offset, but such arrangements are not significant.</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Vendor programs are recognized throughout the year based on judgment and estimates, and amounts due from vendors are generally settled throughout the year based on purchase volumes. The final amounts not already collected from vendors are generally known soon after year-end and are reflected in our results of operations. Substantially all vendor program receivables outstanding at the end of the year are settled within the three months following year-end. We believe that our historical collection rates of these receivables provide a sound basis for our estimates of anticipated vendor payments throughout the year.</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Long-lived asset impairments </w:t>
      </w:r>
      <w:r>
        <w:rPr>
          <w:rFonts w:ascii="Times New Roman" w:cs="Times New Roman" w:eastAsia="Times New Roman" w:hAnsi="Times New Roman"/>
          <w:sz w:val="18"/>
          <w:szCs w:val="18"/>
          <w:color w:val="auto"/>
        </w:rPr>
        <w:t>— Long-lived assets with identifiable cash flows are reviewed for possible impairment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such assets may not be recoverable. We assess recovery of the asset or asset groups using estimates of cash flows directly associated with the future use and eventual disposition of the asset or asset groups. If anticipated cash flows are insufficient to recover the asset on an undiscounted basis, impairment is measured as the difference between the asset’s estimated fair value (generally, the discounted cash flows or its salvage value) and its carrying value, and any costs of disposition. Factors that could trigger an impairment assessment include, among others, a significant change in the extent or manner in which an asset is used or the business climate that could affect the value of the asset. As restructuring activities continue, we may identify assets or asset groups for sale or abandonment and incur impairment charges.</w:t>
      </w:r>
    </w:p>
    <w:p>
      <w:pPr>
        <w:spacing w:after="0" w:line="8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Because of declining sales, store assets are reviewed periodically throughout the year for recoverability of their asset carrying amounts. The frequency of this test may change in future periods if performance warrants. The analysis uses input from retail store operations and our accounting and finance personnel that organizationally report to the Chief Financial Officer. These projections are based on our estimates of store-level sales, gross margins, direct expenses, and resulting cash flows and, by their nature, include judgments about how current initiatives will impact future performance.</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Important assumptions used in these projections include an assessment of future overall economic conditions, our ability to control future costs, maintain aspects of positive performance, and successfully implement initiatives designed to enhance sales and gross margins. To the extent our estimates of future performance are not realized, future assessments could result in material impairment charges.</w:t>
      </w:r>
    </w:p>
    <w:p>
      <w:pPr>
        <w:spacing w:after="0" w:line="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 Goodwill represents the excess of the purchase price of an acquired entity over the fair value of the net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intangible assets acquired and liabilities assumed in a business combination. We review the carrying amount of goodwill at the reporting unit level on an annual basis as of the first day of fiscal month December, or more frequently, if events or changes in circumstances suggest that goodwill may not be recoverable. For those reporting units where events or change in circumstances indicate that potential impairment indicators exist, we perform a quantitative assessment to determine whether the carrying amount of goodwill can be recovered. A significant amount of judgment is involved in determining if an indicator of impairment has occurred.</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When performing the annual goodwill impairment test, we may start with an optional qualitative assessment which involves the evaluation of all events and circumstances, including both positive and negative events, in their totality, to determine whether it is not more likely than not that the fair value of a reporting unit is less than its carrying amount. If we bypass the qualitative assessment, or if the qualitative assessment indicates that a quantitative analysis should be performed, we evaluate goodwill for impairment by comparing the fair value of a reporting unit to its carrying value, including the associated goodwill. We estimate the reporting unit’s fair value using discounted cash flow analysis and market-based evaluations, when available. If the carrying amount of the reporting unit exceeds the estimated fair value, an impairment charge is recorded to reduce the carrying value to the estimated fair value. We typically use a combination of valuation approaches that are dependent on several significant estimates and assumptions related to forecasts of future revenues, cost of sales, expenses and the weighted-average cost of capital for each reporting unit. Any adverse change in these factors could have a significant impact on the recoverability of goodwill and could have a material impact on our financial statements. In 2023, we recorded a $68 million goodwill impairment charge related to our Varis Division. Refer to Note 8. “Goodwill and Other Intangible Assets” in Notes to Consolidated Financial Statements for additional information.</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intangible assets primarily include customer relationship values and, trade names and technology, which primarily related to the OfficeMax merger and our acquisitions of regional small office supply businesses. The original valuation of our customer relationship values assumed continuation of attrition rates previously experienced with these businesses and synergy benefits from the transactions. If we experience an unanticipated decline in sales or profitability associated with these customers, the remaining useful life will be reassessed and could result in either acceleration of amortization or impairment.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Accounting for Business Combinations </w:t>
      </w:r>
      <w:r>
        <w:rPr>
          <w:rFonts w:ascii="Times New Roman" w:cs="Times New Roman" w:eastAsia="Times New Roman" w:hAnsi="Times New Roman"/>
          <w:sz w:val="18"/>
          <w:szCs w:val="18"/>
          <w:color w:val="auto"/>
        </w:rPr>
        <w:t>— We include the results of operations of acquired businesses in our consolidated results prospectively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 Total purchase consideration of acquired businesses may include contingent consideration based on the future results of operations of the acquired businesses. Significant judgments are required to estimate the future results of operations of the acquired businesses and the contingent consideration. Differences between the actual results of operations of the acquired businesses and the original estimate may result in additional contingent consideration liabilities. Changes in fair value of the contingent consideration may result in additional transaction related expenses. We allocate the fair value of purchase consideration to the assets acquired, liabilities assumed, and non-controlling interests in the acquired entity generally based on their fair values at the acquisition date. We use various valuation methodologies to estimate the fair value of assets acquired and liabilities assumed, including using a market participant perspective when applying cost, income and relief from royalty analyses, supplemented with market appraisals where appropriate. Significant judgments and estimates are required in preparing these fair value estimates. The excess of the fair value of purchase consideration over the fair value of the assets acquired, liabilities assumed and non-controlling interests in the acquired entity is recorded as goodwill. The primary items that generate goodwill include the value of the synergies between the acquired company and us and the value of the acquired assembled workforce, neither of which qualifies for recognition as an intangible asset. Acquisition-related expenses and post-acquisition restructuring costs are recognized separately from the business combination and are expensed as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TRENDS, DEVELOPMENTS AND UNCERTAINTIES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Competitive Factors — </w:t>
      </w:r>
      <w:r>
        <w:rPr>
          <w:rFonts w:ascii="Times New Roman" w:cs="Times New Roman" w:eastAsia="Times New Roman" w:hAnsi="Times New Roman"/>
          <w:sz w:val="18"/>
          <w:szCs w:val="18"/>
          <w:color w:val="auto"/>
        </w:rPr>
        <w:t>We continue to see development and growth of competitors in all segments of our business. In particular, Internet-based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mass merchandisers and wholesale clubs, as well as food and drugstore chains, have increased their assortment of home office merchandise, attracting additional back-to-school customers and year-round casual shoppers. We have seen substantial growth in the number of competitors that offer office products over the Internet, as well as the breadth and depth of their product offerings. As a result of the changes in customer purchasing habits with the COVID-19 pandemic, we have seen a substantial increase in Internet-based purchasing by customers as they continue to make their purchases online and utilize curbside pickup or offered delivery services instead of going into stores. In addition to large numbers of smaller Internet providers featuring special price incentives and one-time deals (such as close-outs), we are experiencing strong competitive pressures from large Internet providers such as Amazon and Walmart that offer a full assortment of office products through direct sales and, in the case of Amazon, acting as a “storefront” for other specialty office product providers.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Wholesale clubs have expanded beyond their in-store assortment by adding catalogs and websites from which a much broader assortment of products may be ordered. We also face competition from other office supply stores that compete directly with us in numerous markets. This competition is likely to result in increased competitive pressures on pricing, product selection and services provided by our ODP Business Solutions and Office Depot Divisions. Many of these retail competitors, including discounters, wholesale clubs, and drug stores and grocery chains, carry basic office supply products. Some of them also feature technology products. Many of them may price certain of these offerings lower than we do. This trend towards a proliferation of retailers offering a limited assortment of office products is a potentially serious trend that could shift purchasing away from office supply specialty retailers and adversely impact our results. Another trend in our office products industry has been consolidation, as competitors in office supply stores and the copy/print channel have been acquired and consolidated into larger, well-capitalized corporations. This trend towards consolidation, coupled with acquisitions by financially strong organizations, is potentially a significant trend in our office products industry that could impact our results. Additionally, consumers are utilizing more technology and purchasing less paper, ink and toner, physical file storage and general office supplies. Lower demand for printing paper is causing a decline in manufacturing and ensuing industry supply of paper products. This, in turn, is leading to a meaningful increase in paper cost, which we are not always able to pass along to our customers commensurably.</w:t>
      </w:r>
    </w:p>
    <w:p>
      <w:pPr>
        <w:spacing w:after="0" w:line="132"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We regularly consider these and other competitive factors when we establish both offensive and defensive aspects of our overall business strategy and operating plans.</w:t>
      </w:r>
    </w:p>
    <w:p>
      <w:pPr>
        <w:spacing w:after="0" w:line="10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Economic Factors </w:t>
      </w:r>
      <w:r>
        <w:rPr>
          <w:rFonts w:ascii="Times New Roman" w:cs="Times New Roman" w:eastAsia="Times New Roman" w:hAnsi="Times New Roman"/>
          <w:sz w:val="18"/>
          <w:szCs w:val="18"/>
          <w:color w:val="auto"/>
        </w:rPr>
        <w:t>— Our customers in the Office Depot Division and certain of our customers in the ODP Business Solutions Division are small and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businesses. Accordingly, spending by these customers is affected by macroeconomic conditions, such as changes in the housing market and commodity costs, credit availability, inflation and other factors.</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Liquidity Factors — </w:t>
      </w:r>
      <w:r>
        <w:rPr>
          <w:rFonts w:ascii="Times New Roman" w:cs="Times New Roman" w:eastAsia="Times New Roman" w:hAnsi="Times New Roman"/>
          <w:sz w:val="18"/>
          <w:szCs w:val="18"/>
          <w:color w:val="auto"/>
        </w:rPr>
        <w:t>We rely on our cash flow from operating activities, available cash and cash equivalents, and access to broad financial markets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 liquidity we need to operate our business and fund integration and restructuring activities. Together, these sources have been used to fund operating and working capital needs, as well as invest in business expansion through capital improvements and acquisitions. While we have in place a $1.0 billion asset-based credit facility to provide liquidity, the economic factors affecting our business may limit our ability to access this credit facility in full or cause future refinancing terms to be less favorable than the terms of our current indebtedness.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SENSITIVE RISKS AND POSITIONS</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have adopted an enterprise risk management process patterned after the principles set out by the Committee of Sponsoring Organizations (COSO). We utilize a common view of exposure identification and risk management. A process is in place for periodic risk reviews and identification of appropriate mitigation strategies.</w:t>
      </w:r>
    </w:p>
    <w:p>
      <w:pPr>
        <w:spacing w:after="0" w:line="1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market risk exposure related to interest rates, foreign currency exchange rates, and commodities. Market risk is measured as the potential negative impact on earnings, cash flows or fair values resulting from a hypothetical change in interest rates or foreign currency exchange rates over the next year. Interest rate changes on obligations may result from external market factors. We manage our exposure to market risks at the corporate level. The portfolio of interest-sensitive assets and liabilities is monitored to provide liquidity necessary to satisfy anticipated short-term needs. Our risk management policies allow the use of specified financial instruments for hedging purposes only; speculation on interest rates, foreign currency rates, or commodities is not permitted.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We are exposed to the impact of interest rate changes on cash, cash equivalents, debt obligations, and defined benefit pension and other postretirement plans.</w:t>
      </w:r>
    </w:p>
    <w:p>
      <w:pPr>
        <w:spacing w:after="0" w:line="10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impact on cash and cash equivalents held at December 30, 2023, from a hypothetical 50-basis-point change in interest rates, would be an increase or decrease in interest income of approximately $2 million. The impact on our New Facilities loans at December 30, 2023, from a hypothetical 50-basis-point change in interest rates, would be an increase or decrease in interest expense of less than $1 million.</w:t>
      </w:r>
    </w:p>
    <w:p>
      <w:pPr>
        <w:spacing w:after="0" w:line="1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about our debt portfolio outstanding as of December 30, 2023, that is sensitive to changes in interest rates. The following table does not include our obligations for pension plans and other postretirement benefits, although market risk also arises within our defined benefit pension plans to the extent that the obligations of the pension plans are not fully matched by assets with determinable cash flows. Refer to Note 13. “Employee Benefit Plans” in Notes to Consolidated Financial Statements for additional information about our pension plans and other postretirement benefits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1"/>
                <w:szCs w:val="11"/>
                <w:color w:val="auto"/>
              </w:rPr>
            </w:pPr>
          </w:p>
        </w:tc>
        <w:tc>
          <w:tcPr>
            <w:tcW w:w="90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820" w:type="dxa"/>
            <w:vAlign w:val="bottom"/>
          </w:tcPr>
          <w:p>
            <w:pPr>
              <w:jc w:val="center"/>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1"/>
                <w:szCs w:val="11"/>
                <w:color w:val="auto"/>
              </w:rPr>
            </w:pPr>
          </w:p>
        </w:tc>
        <w:tc>
          <w:tcPr>
            <w:tcW w:w="92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800" w:type="dxa"/>
            <w:vAlign w:val="bottom"/>
          </w:tcPr>
          <w:p>
            <w:pPr>
              <w:jc w:val="center"/>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88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Risk</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0" w:type="dxa"/>
            <w:vAlign w:val="bottom"/>
          </w:tcPr>
          <w:p>
            <w:pPr>
              <w:spacing w:after="0"/>
              <w:rPr>
                <w:sz w:val="1"/>
                <w:szCs w:val="1"/>
                <w:color w:val="auto"/>
              </w:rPr>
            </w:pP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Recourse debt: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New Facilities loans under the Third Amended Credit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Agreement, due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 bonds, due in varying amounts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periodically through 2029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American &amp; Foreign Power Company, Inc.</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5% debentures, due 2030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risk sensitivity of fixed rate debt reflects the estimated increase in fair value from a 50-basis-point decrease in interest rates, calculated on a discounted cash flow basis. The sensitivity of variable rate debt reflects the possible increase in interest expense during the next period from a 50-basis-point change in interest rates prevailing at year-end.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17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We conduct business through our entities in Canada and China, where their functional currency is not the U.S. dollar. We continue to assess our exposure to foreign currency fluctuations against the U.S. dollar. As of December 30, 2023, a 10% change in the applicable foreign exchange rates would have resulted in an increase or decrease in our pretax earnings from continuing operations of less than $2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Commodities Risk</w:t>
      </w:r>
    </w:p>
    <w:p>
      <w:pPr>
        <w:spacing w:after="0" w:line="173"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8"/>
          <w:szCs w:val="18"/>
          <w:color w:val="auto"/>
        </w:rPr>
        <w:t>We operate a large network of stores and distribution centers. As such, we purchase fuel needed to transport products to our retail stores and customers as well as pay shipping costs to import products from overseas. We are exposed to potential changes in the underlying commodity costs associated with this transport activity.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We may enter into economic hedge transactions for a portion of our anticipated fuel consumption. These arrangements are marked to market at each reporting period. Some of these arrangements may not be designated as hedges for accounting purposes and changes in value are recognized in current earnings through the Cost of goods sold and occupancy costs line in the Consolidated Statements of Operations. Those that are designated as hedges for accounting purposes are also marked to market at each reporting period, with the change in value deferred in accumulated other comprehensive income until the related fuel is consumed. Currently, these economic hedging transactions are not considered material. As of December 30, 2023, excluding the impact of any hedge transaction, a 10% change in domestic commodity costs would have resulted in an increase or decrease in our operating profit of approximately $4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8"/>
          <w:szCs w:val="18"/>
          <w:color w:val="auto"/>
        </w:rPr>
        <w:t>Our business experiences a certain level of seasonality, with sales generally trending lower in the second quarter, following the “back-to-business” sales cycle in the first quarter and preceding the “back-to-school” sales cycle in the third quarter and the holiday sales cycle in the fourth quarter for our ODP Business Solutions and Office Depot Divisions. Certain working capital components may build and recede during the year reflecting established selling cycles. Business cycles can and have impacted our operations and financial position when compared to other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For a description of new applicable accounting standards, refer to Note 1. “Summary of Significant Accounting Policies” in Notes to Consolidated Financial Statements.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information in the “Market Sensitive Risks and Positions” in MD&amp;A of this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is accumulated and communicated to our management, including our principal executive officer and principal financial officer, as appropriate, to allow timely decisions regarding required disclosure. Our management recognizes that any controls and procedures, no matter how well designed and operated, can only provide reasonable assurance of achieving the desired control objectives, and management necessarily applies its judgment in evaluating the possible controls and procedures. Each reporting period, we carry out an evaluation, with the participation of our principal executive officer and principal financial officer, or persons performing similar functions, of the effectiveness of the design and operation of our disclosure controls and procedures as defined in Rules 13a-15(e) and 15d-15(e) under the Exchange Act.</w:t>
      </w:r>
    </w:p>
    <w:p>
      <w:pPr>
        <w:spacing w:after="0" w:line="13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have concluded that, as of December 30, 2023, our disclosure controls and procedures were effective to provide reasonable assurance that information required to be disclosed in the reports that we file or submit under the Exchange Act is recorded, processed, summarized and reported within the time periods specified in SEC rules and forms and that such information is accumulated and communicated to management, including the principal executive officer and the principal financial officer, or persons performing similar functions, as appropriate, to allow timely decisions regarding required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17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2023,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ODP as defined in Exchange Act Rules 13a-15(f) and 15d-15(f). Internal control over financial reporting is a process designed to provide reasonable assurance to our management and Board of Directors regarding the reliability of financial reporting and the preparation and fair presentation of published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66" w:lineRule="exact"/>
        <w:rPr>
          <w:sz w:val="20"/>
          <w:szCs w:val="20"/>
          <w:color w:val="auto"/>
        </w:rPr>
      </w:pPr>
    </w:p>
    <w:p>
      <w:pPr>
        <w:jc w:val="both"/>
        <w:ind w:right="660"/>
        <w:spacing w:after="0" w:line="265"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30,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our assessment, management has concluded that the Company’s internal control over financial reporting was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30, 2023.</w:t>
      </w:r>
    </w:p>
    <w:p>
      <w:pPr>
        <w:spacing w:after="0" w:line="12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Our internal control over financial reporting as of December 30, 2023, has been audited by Deloitte &amp; Touche LLP, an independent registered public accounting firm, as stated in their report provided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defined in Item 408(c) of Regulation S-K) during the fourth quarter of 2023.</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ODP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The ODP Corporation and subsidiaries (the “Company”) as of December 30,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30, 2023, based on criteria established in Internal Control — Integrated Framework (2013) issued by COSO.</w:t>
      </w:r>
    </w:p>
    <w:p>
      <w:pPr>
        <w:spacing w:after="0" w:line="18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fiscal year ended December 30, 2023, of the Company and our report dated February 28, 2024 expressed an unqualified opinion on those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CORPORATE GOVERNANCE</w:t>
      </w:r>
    </w:p>
    <w:p>
      <w:pPr>
        <w:spacing w:after="0" w:line="175"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Information concerning our executive officers is set forth under the caption “Information About Our Executive Officers” within Who Manages Our Business of this Annual Report.</w:t>
      </w:r>
    </w:p>
    <w:p>
      <w:pPr>
        <w:spacing w:after="0" w:line="10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Information required by this item with respect to our directors and the nomination process will be contained under the headings “Election of Directors” and “Corporate Governance,” respectively, in the proxy statement for our 2024 Annual Meeting of Shareholders to be filed with the SEC (the “Proxy Statement”) within 120 days after the end of our fiscal year, which information is incorporated by reference in this Annual Report.</w:t>
      </w:r>
    </w:p>
    <w:p>
      <w:pPr>
        <w:spacing w:after="0" w:line="12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Information required by this item with respect to our audit committee and our audit committee financial experts will be contained in the Proxy Statement under the heading “Corporate Governance – Board and Committee Responsibilities” and is incorporated by reference in this Annual Report.</w:t>
      </w:r>
    </w:p>
    <w:p>
      <w:pPr>
        <w:spacing w:after="0" w:line="1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Code of Ethical Behavior is in compliance with applicable rules of the SEC that apply to our principal executive officer, our principal financial officer, and our principal accounting officer or controller, or persons performing similar functions. A copy of the Code of Ethical Behavior is available free of charge on the “Investor Relations” section of our website, investor.theodpcorp.com. We intend to satisfy any disclosure requirement under Item 5.05 of Form 8-K regarding an amendment to, or waiver from, a provision of this Code of Ethical Behavior by posting such information on our website at the address and location specified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Information required by this item with respect to executive compensation and director compensation will be contained in the Proxy Statement under the headings “Compensation Discussion &amp; Analysis” and “Director Compensation,” respectively, and is incorporated by reference in this Annual Report.</w:t>
      </w:r>
    </w:p>
    <w:p>
      <w:pPr>
        <w:spacing w:after="0" w:line="8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with respect to compensation committee interlocks and insider participation will be contained in the Proxy Statement under the heading “Compensation &amp; Talent Committee Interlocks and Insider Participation” and is incorporated by reference in this Annual Report.</w:t>
      </w:r>
    </w:p>
    <w:p>
      <w:pPr>
        <w:spacing w:after="0" w:line="8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compensation committee report required by this item will be contained in the Proxy Statement under the heading “Compensation &amp; Talent Committee Report” and is incorporated by reference in this Annual Report.</w:t>
      </w:r>
    </w:p>
    <w:p>
      <w:pPr>
        <w:spacing w:after="0" w:line="109"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with respect to compensation policies and practices as they relate to the Company’s risk management will be contained in the Proxy Statement under the heading “Corporate Governance” under the subheadings “Board Oversight of Risk,” “Role of the Board Committees in Risk Oversight,” and “Compensation Programs Risk Assessment” and is incorporated by reference in this Annual Report.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required by this item with respect to securities authorized for issuance under the Company’s equity compensation plans will be contained in the Proxy Statement under the heading “Equity Compensation Plan Information” and is incorporated herein by reference in this Annual Report.</w:t>
      </w:r>
    </w:p>
    <w:p>
      <w:pPr>
        <w:spacing w:after="0" w:line="10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Information required by this item with respect to security ownership of certain beneficial owners and management will be contained in the Proxy Statement under the heading “Security Ownership of Certain Beneficial Owners and Management” and is incorporated by reference in this Annual Report.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Information required by this item with respect to such contractual relationships and director independence will be contained in the Proxy Statement under the heading “Corporate Governance” under subheading “Certain Relationships and Related Person Transactions Policy” and under the heading “Election of Directors” under subheading “Director Independence and Independence Determinations” and is incorporated by reference in this Annual Report.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Information with respect to principal accounting fees and services and pre-approval policies will be contained in the Proxy Statement under the heading “Ratification of Appointment of Independent Registered Public Accounting Firm” under subheadings “Audit and Non-Audit Fees” and “Audit Committee Pre-Approval Policies and Procedures,” respectively, and is incorporated by reference in this Annual Report.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STATEMENTS AND SUPPLEMENTAL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171" w:lineRule="exact"/>
        <w:rPr>
          <w:sz w:val="20"/>
          <w:szCs w:val="20"/>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listed in Index to Financial Statements.</w:t>
      </w:r>
    </w:p>
    <w:p>
      <w:pPr>
        <w:spacing w:after="0" w:line="170" w:lineRule="exact"/>
        <w:rPr>
          <w:rFonts w:ascii="Times New Roman" w:cs="Times New Roman" w:eastAsia="Times New Roman" w:hAnsi="Times New Roman"/>
          <w:sz w:val="18"/>
          <w:szCs w:val="18"/>
          <w:color w:val="auto"/>
        </w:rPr>
      </w:pPr>
    </w:p>
    <w:p>
      <w:pPr>
        <w:ind w:left="900" w:right="440" w:hanging="518"/>
        <w:spacing w:after="0" w:line="28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financial statements are omitted because the required information is not applicable, or because the information is included in the Company’s Consolidated Financial Statements or the Notes to Consolidated Financial Statements.</w:t>
      </w:r>
    </w:p>
    <w:p>
      <w:pPr>
        <w:spacing w:after="0" w:line="108" w:lineRule="exact"/>
        <w:rPr>
          <w:rFonts w:ascii="Times New Roman" w:cs="Times New Roman" w:eastAsia="Times New Roman" w:hAnsi="Times New Roman"/>
          <w:sz w:val="18"/>
          <w:szCs w:val="18"/>
          <w:color w:val="auto"/>
        </w:rPr>
      </w:pPr>
    </w:p>
    <w:p>
      <w:pPr>
        <w:jc w:val="both"/>
        <w:ind w:left="880" w:right="3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Company’s independent registered public accounting firm (PCAOB ID: 34) with respect to the above-referenced financial statements and their report on internal control over financial reporting are included in Item 8 and Item 9A of this Form 10-K. Their consent appears as Exhibit 23.1 of this Form 10-K.</w:t>
      </w:r>
    </w:p>
    <w:p>
      <w:pPr>
        <w:spacing w:after="0" w:line="12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gridSpan w:val="30"/>
          </w:tcPr>
          <w:p>
            <w:pPr>
              <w:ind w:left="580"/>
              <w:spacing w:after="0"/>
              <w:rPr>
                <w:sz w:val="20"/>
                <w:szCs w:val="20"/>
                <w:color w:val="auto"/>
              </w:rPr>
            </w:pPr>
            <w:r>
              <w:rPr>
                <w:rFonts w:ascii="Times New Roman" w:cs="Times New Roman" w:eastAsia="Times New Roman" w:hAnsi="Times New Roman"/>
                <w:sz w:val="18"/>
                <w:szCs w:val="18"/>
                <w:b w:val="1"/>
                <w:bCs w:val="1"/>
                <w:color w:val="auto"/>
              </w:rPr>
              <w:t>INDEX TO EXHIBITS FOR THE ODP CORPORATION 10-K</w:t>
            </w:r>
          </w:p>
        </w:tc>
        <w:tc>
          <w:tcPr>
            <w:tcW w:w="0" w:type="dxa"/>
            <w:vAlign w:val="bottom"/>
          </w:tcPr>
          <w:p>
            <w:pPr>
              <w:spacing w:after="0"/>
              <w:rPr>
                <w:sz w:val="1"/>
                <w:szCs w:val="1"/>
                <w:color w:val="auto"/>
              </w:rPr>
            </w:pPr>
          </w:p>
        </w:tc>
      </w:tr>
      <w:tr>
        <w:trPr>
          <w:trHeight w:val="341"/>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25"/>
            <w:vMerge w:val="restart"/>
          </w:tcPr>
          <w:p>
            <w:pPr>
              <w:ind w:left="160"/>
              <w:spacing w:after="0"/>
              <w:rPr>
                <w:sz w:val="20"/>
                <w:szCs w:val="20"/>
                <w:color w:val="auto"/>
              </w:rPr>
            </w:pPr>
            <w:r>
              <w:rPr>
                <w:rFonts w:ascii="Times New Roman" w:cs="Times New Roman" w:eastAsia="Times New Roman" w:hAnsi="Times New Roman"/>
                <w:sz w:val="14"/>
                <w:szCs w:val="14"/>
                <w:color w:val="auto"/>
              </w:rPr>
              <w:t>Exhibit</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96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Agreement and Plan of Merger, dated as of June 30, 2020, by and among Office Depot, Inc., The ODP Corporation, ODP Investment,</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LLC and Office Depot, LLC (Incorporated by reference from Exhibit 2.1 of The ODP Corporation’s Form 8-K12B, filed with the SEC</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31"/>
          </w:tcPr>
          <w:p>
            <w:pPr>
              <w:spacing w:after="0" w:line="19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on July 1,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Certificate of Incorporation of The ODP Corporation (Incorporated by reference from Exhibit 3.1 of The ODP</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Corporation’s Form 8-K12B, filed with the SEC on July 1, 2020).</w:t>
              </w:r>
            </w:hyperlink>
          </w:p>
        </w:tc>
        <w:tc>
          <w:tcPr>
            <w:tcW w:w="20" w:type="dxa"/>
            <w:vAlign w:val="bottom"/>
            <w:tcBorders>
              <w:bottom w:val="single" w:sz="8" w:color="0000EE"/>
            </w:tcBorders>
          </w:tcPr>
          <w:p>
            <w:pPr>
              <w:spacing w:after="0"/>
              <w:rPr>
                <w:sz w:val="17"/>
                <w:szCs w:val="17"/>
                <w:color w:val="auto"/>
              </w:rPr>
            </w:pPr>
          </w:p>
        </w:tc>
        <w:tc>
          <w:tcPr>
            <w:tcW w:w="51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8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Amended and Restated Bylaws of The ODP Corporation (Incorporated by reference from Exhibit 3.2 of The ODP Corporation’s Annual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Report on Form 10-K, filed with the SEC on March 1, 2023).</w:t>
              </w:r>
            </w:hyperlink>
          </w:p>
        </w:tc>
        <w:tc>
          <w:tcPr>
            <w:tcW w:w="54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96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Certificate of Designations of Series A Junior Participating Preferred Stock of The ODP Corporation (Incorporated by reference from</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31"/>
          </w:tcPr>
          <w:p>
            <w:pPr>
              <w:spacing w:after="0" w:line="195"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Exhibit 3.3 of The ODP Corporation’s Form 8-K12B, filed with the SEC on July 1,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7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Specimen Common Stock Certificate of The ODP Corporation (Incorporated by reference from Exhibit 4.2 of The ODP Corporation’s</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Current Report on Form 8-K, filed with the SEC on July 1, 2020).</w:t>
              </w:r>
            </w:hyperlink>
          </w:p>
        </w:tc>
        <w:tc>
          <w:tcPr>
            <w:tcW w:w="20" w:type="dxa"/>
            <w:vAlign w:val="bottom"/>
            <w:tcBorders>
              <w:bottom w:val="single" w:sz="8" w:color="0000EE"/>
            </w:tcBorders>
          </w:tcPr>
          <w:p>
            <w:pPr>
              <w:spacing w:after="0"/>
              <w:rPr>
                <w:sz w:val="17"/>
                <w:szCs w:val="17"/>
                <w:color w:val="auto"/>
              </w:rPr>
            </w:pPr>
          </w:p>
        </w:tc>
        <w:tc>
          <w:tcPr>
            <w:tcW w:w="51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98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Description of The ODP Corporation’s Securities (Incorporated by reference from Exhibit 4.2 of The ODP Corporation’s Annual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31"/>
          </w:tcPr>
          <w:p>
            <w:pPr>
              <w:spacing w:after="0" w:line="195"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on Form 10-K, filed with the SEC on March 1,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Office Depot, Inc. 2019 Long-Term Incentive Plan (Incorporated by reference from Annex 1 to the Proxy Statement for Office Depot,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Inc.’s 2019 Annual Meeting of Shareholders, filed with the SEC on March 20, 2019).*</w:t>
              </w:r>
            </w:hyperlink>
          </w:p>
        </w:tc>
        <w:tc>
          <w:tcPr>
            <w:tcW w:w="20" w:type="dxa"/>
            <w:vAlign w:val="bottom"/>
            <w:tcBorders>
              <w:bottom w:val="single" w:sz="8" w:color="0000EE"/>
            </w:tcBorders>
          </w:tcPr>
          <w:p>
            <w:pPr>
              <w:spacing w:after="0"/>
              <w:rPr>
                <w:sz w:val="17"/>
                <w:szCs w:val="17"/>
                <w:color w:val="auto"/>
              </w:rPr>
            </w:pPr>
          </w:p>
        </w:tc>
        <w:tc>
          <w:tcPr>
            <w:tcW w:w="3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Office Depot, Inc. 2017 Long-Term Incentive Plan (Incorporated by reference from Exhibit 99.1 of Office Depot, Inc.’s Registration</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31"/>
          </w:tcPr>
          <w:p>
            <w:pPr>
              <w:spacing w:after="0" w:line="195"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Statement on Form S-8, filed with the SEC on July 20, 2017).*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Third Amended and Restated Credit Agreement, dated as of April 17, 2020, among Office Depot, Inc., Grand &amp; Toy</w:t>
              </w:r>
            </w:hyperlink>
          </w:p>
        </w:tc>
        <w:tc>
          <w:tcPr>
            <w:tcW w:w="8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Limited/Grand &amp; Toy Limiteé, CompuCom Canada Co., as Borrowers, JPMorgan Chase Bank, N.A., as Administrative Agent, and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other lenders referred to therein (Incorporated by reference from Exhibit 10.1 of Office Depot, Inc.’s Current Report on Form 8-K, filed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with the SEC on April 20, 2020).</w:t>
              </w:r>
            </w:hyperlink>
          </w:p>
        </w:tc>
        <w:tc>
          <w:tcPr>
            <w:tcW w:w="20" w:type="dxa"/>
            <w:vAlign w:val="bottom"/>
            <w:tcBorders>
              <w:bottom w:val="single" w:sz="8" w:color="0000EE"/>
            </w:tcBorders>
          </w:tcPr>
          <w:p>
            <w:pPr>
              <w:spacing w:after="0"/>
              <w:rPr>
                <w:sz w:val="17"/>
                <w:szCs w:val="17"/>
                <w:color w:val="auto"/>
              </w:rPr>
            </w:pPr>
          </w:p>
        </w:tc>
        <w:tc>
          <w:tcPr>
            <w:tcW w:w="74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9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 Agreement (Executives) (Incorporated by reference from Exhibit 99.4 of Office Depot, Inc.’s</w:t>
              </w:r>
            </w:hyperlink>
          </w:p>
        </w:tc>
        <w:tc>
          <w:tcPr>
            <w:tcW w:w="9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31"/>
          </w:tcPr>
          <w:p>
            <w:pPr>
              <w:spacing w:after="0" w:line="195"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Registration Statement on Form S-8, filed with the SEC on July 20, 2017).*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tcBorders>
              <w:right w:val="single" w:sz="8" w:color="0000EE"/>
            </w:tcBorders>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6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 of AOI Performance Share Award Agreement (Executives) (Incorporated by reference from Exhibit 99.5 of Office Depot, Inc.’s</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31"/>
          </w:tcPr>
          <w:p>
            <w:pPr>
              <w:spacing w:after="0" w:line="195"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Registration Statement on Form S-8, filed with the SEC on July 20, 2017).*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tcBorders>
              <w:right w:val="single" w:sz="8" w:color="0000EE"/>
            </w:tcBorders>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of TSR Performance Share Award Agreement (Executives) (Incorporated by reference from Exhibit 99.6 of Office Depot, Inc.’s</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31"/>
          </w:tcPr>
          <w:p>
            <w:pPr>
              <w:spacing w:after="0" w:line="195"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Registration Statement on Form S-8, filed with the SEC on July 20, 2017).*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tcBorders>
              <w:right w:val="single" w:sz="8" w:color="0000EE"/>
            </w:tcBorders>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7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Employment Agreement between Office Depot, Inc. and Gerry P. Smith (Incorporated by reference from Exhibit 10.1 of Office Depot,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4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Inc.’s Current Report on Form 8-K, filed with the SEC on January 30, 2017).*</w:t>
              </w:r>
            </w:hyperlink>
          </w:p>
        </w:tc>
        <w:tc>
          <w:tcPr>
            <w:tcW w:w="20" w:type="dxa"/>
            <w:vAlign w:val="bottom"/>
            <w:tcBorders>
              <w:bottom w:val="single" w:sz="8" w:color="0000EE"/>
            </w:tcBorders>
          </w:tcPr>
          <w:p>
            <w:pPr>
              <w:spacing w:after="0"/>
              <w:rPr>
                <w:sz w:val="17"/>
                <w:szCs w:val="17"/>
                <w:color w:val="auto"/>
              </w:rPr>
            </w:pPr>
          </w:p>
        </w:tc>
        <w:tc>
          <w:tcPr>
            <w:tcW w:w="42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96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2017 Non-Qualified Stock Option Award Agreement between Office Depot, Inc. and Gerry P. Smith (Incorporated by reference from</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Exhibit 10.2 of Office Depot, Inc.’s Current Report on Form 8-K, filed with the SEC on January 30, 2017).*</w:t>
              </w:r>
            </w:hyperlink>
          </w:p>
        </w:tc>
        <w:tc>
          <w:tcPr>
            <w:tcW w:w="20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9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2017 Restricted Stock Unit Award Agreement between Office Depot, Inc. and Gerry P. Smith (Incorporated by reference from Exhibit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of Office Depot, Inc.’s Current Report on Form 8-K, filed with the SEC on January 30, 2017).*</w:t>
              </w:r>
            </w:hyperlink>
          </w:p>
        </w:tc>
        <w:tc>
          <w:tcPr>
            <w:tcW w:w="20" w:type="dxa"/>
            <w:vAlign w:val="bottom"/>
            <w:tcBorders>
              <w:bottom w:val="single" w:sz="8" w:color="0000EE"/>
            </w:tcBorders>
          </w:tcPr>
          <w:p>
            <w:pPr>
              <w:spacing w:after="0"/>
              <w:rPr>
                <w:sz w:val="17"/>
                <w:szCs w:val="17"/>
                <w:color w:val="auto"/>
              </w:rPr>
            </w:pPr>
          </w:p>
        </w:tc>
        <w:tc>
          <w:tcPr>
            <w:tcW w:w="2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8" w:right="339" w:bottom="1440" w:gutter="0" w:footer="0" w:header="0"/>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322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color w:val="auto"/>
                <w:w w:val="96"/>
              </w:rPr>
              <w:t>Exhibit</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p>
      <w:pPr>
        <w:ind w:left="1360" w:right="440" w:hanging="950"/>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62">
        <w:r>
          <w:rPr>
            <w:rFonts w:ascii="Times New Roman" w:cs="Times New Roman" w:eastAsia="Times New Roman" w:hAnsi="Times New Roman"/>
            <w:sz w:val="18"/>
            <w:szCs w:val="18"/>
            <w:u w:val="single" w:color="auto"/>
            <w:color w:val="0000FF"/>
          </w:rPr>
          <w:t>Form of Restricted Stock Unit Award Agreement (Incorporated by reference from Exhibit 99.3 of Office Depot, Inc.’s Registration</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Statement on Form S-8, filed with the SEC on June 19,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0051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600519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2925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2925445" cy="8255"/>
                    </a:xfrm>
                    <a:prstGeom prst="rect">
                      <a:avLst/>
                    </a:prstGeom>
                    <a:noFill/>
                  </pic:spPr>
                </pic:pic>
              </a:graphicData>
            </a:graphic>
          </wp:anchor>
        </w:drawing>
      </w:r>
    </w:p>
    <w:p>
      <w:pPr>
        <w:spacing w:after="0" w:line="62" w:lineRule="exact"/>
        <w:rPr>
          <w:sz w:val="20"/>
          <w:szCs w:val="20"/>
          <w:color w:val="auto"/>
        </w:rPr>
      </w:pPr>
    </w:p>
    <w:p>
      <w:pPr>
        <w:ind w:left="42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65">
        <w:r>
          <w:rPr>
            <w:rFonts w:ascii="Times New Roman" w:cs="Times New Roman" w:eastAsia="Times New Roman" w:hAnsi="Times New Roman"/>
            <w:sz w:val="17"/>
            <w:szCs w:val="17"/>
            <w:u w:val="single" w:color="auto"/>
            <w:color w:val="0000FF"/>
          </w:rPr>
          <w:t>The Office Depot, Inc. Executive Change in Control Severance Plan effective August 1, 2014 (Incorporated by reference from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61626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162675" cy="8255"/>
                    </a:xfrm>
                    <a:prstGeom prst="rect">
                      <a:avLst/>
                    </a:prstGeom>
                    <a:noFill/>
                  </pic:spPr>
                </pic:pic>
              </a:graphicData>
            </a:graphic>
          </wp:anchor>
        </w:drawing>
      </w:r>
    </w:p>
    <w:p>
      <w:pPr>
        <w:spacing w:after="0" w:line="7"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10.1 of Office Depot, Inc.’s Current Report on Form 8-K, filed with the SEC on August 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-19685</wp:posOffset>
            </wp:positionV>
            <wp:extent cx="45237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4523740" cy="8255"/>
                    </a:xfrm>
                    <a:prstGeom prst="rect">
                      <a:avLst/>
                    </a:prstGeom>
                    <a:noFill/>
                  </pic:spPr>
                </pic:pic>
              </a:graphicData>
            </a:graphic>
          </wp:anchor>
        </w:drawing>
      </w:r>
    </w:p>
    <w:p>
      <w:pPr>
        <w:spacing w:after="0" w:line="105" w:lineRule="exact"/>
        <w:rPr>
          <w:sz w:val="20"/>
          <w:szCs w:val="20"/>
          <w:color w:val="auto"/>
        </w:rPr>
      </w:pPr>
    </w:p>
    <w:p>
      <w:pPr>
        <w:ind w:left="1360" w:right="420" w:hanging="950"/>
        <w:spacing w:after="0" w:line="312" w:lineRule="auto"/>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68">
        <w:r>
          <w:rPr>
            <w:rFonts w:ascii="Times New Roman" w:cs="Times New Roman" w:eastAsia="Times New Roman" w:hAnsi="Times New Roman"/>
            <w:sz w:val="17"/>
            <w:szCs w:val="17"/>
            <w:u w:val="single" w:color="auto"/>
            <w:color w:val="0000FF"/>
          </w:rPr>
          <w:t>Amendment to Office Depot, Inc. Executive Change in Control Severance Plan effective as of August 10, 2020 (Incorporated by</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reference from Exhibit 10.12 of The ODP Corporation’s Annual Report on Form 10-K, filed with the SEC on February 23,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-199390</wp:posOffset>
            </wp:positionV>
            <wp:extent cx="59029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590296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-62230</wp:posOffset>
            </wp:positionV>
            <wp:extent cx="59899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5989955" cy="8255"/>
                    </a:xfrm>
                    <a:prstGeom prst="rect">
                      <a:avLst/>
                    </a:prstGeom>
                    <a:noFill/>
                  </pic:spPr>
                </pic:pic>
              </a:graphicData>
            </a:graphic>
          </wp:anchor>
        </w:drawing>
      </w:r>
    </w:p>
    <w:p>
      <w:pPr>
        <w:spacing w:after="0" w:line="38" w:lineRule="exact"/>
        <w:rPr>
          <w:sz w:val="20"/>
          <w:szCs w:val="20"/>
          <w:color w:val="auto"/>
        </w:rPr>
      </w:pPr>
    </w:p>
    <w:p>
      <w:pPr>
        <w:ind w:left="1360" w:right="260" w:hanging="950"/>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71">
        <w:r>
          <w:rPr>
            <w:rFonts w:ascii="Times New Roman" w:cs="Times New Roman" w:eastAsia="Times New Roman" w:hAnsi="Times New Roman"/>
            <w:sz w:val="18"/>
            <w:szCs w:val="18"/>
            <w:u w:val="single" w:color="auto"/>
            <w:color w:val="0000FF"/>
          </w:rPr>
          <w:t>Form of Office Depot, Inc. Indemnification Agreement (Incorporated by reference from Exhibit 10.63 of Office Depot, Inc.’s Annual</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Report on Form 10-K, filed with the SEC on February 28,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115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611505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30587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3058795" cy="8255"/>
                    </a:xfrm>
                    <a:prstGeom prst="rect">
                      <a:avLst/>
                    </a:prstGeom>
                    <a:noFill/>
                  </pic:spPr>
                </pic:pic>
              </a:graphicData>
            </a:graphic>
          </wp:anchor>
        </w:drawing>
      </w:r>
    </w:p>
    <w:p>
      <w:pPr>
        <w:spacing w:after="0" w:line="62" w:lineRule="exact"/>
        <w:rPr>
          <w:sz w:val="20"/>
          <w:szCs w:val="20"/>
          <w:color w:val="auto"/>
        </w:rPr>
      </w:pPr>
    </w:p>
    <w:p>
      <w:pPr>
        <w:ind w:left="1360" w:right="200" w:hanging="950"/>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74">
        <w:r>
          <w:rPr>
            <w:rFonts w:ascii="Times New Roman" w:cs="Times New Roman" w:eastAsia="Times New Roman" w:hAnsi="Times New Roman"/>
            <w:sz w:val="18"/>
            <w:szCs w:val="18"/>
            <w:u w:val="single" w:color="auto"/>
            <w:color w:val="0000FF"/>
          </w:rPr>
          <w:t>Form of Restricted Stock Unit Agreement (Executives) (Incorporated by reference from Exhibit 10.4 of Office Depot, Inc.’s Quarterly</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Report on Form 8-K, filed with the SEC on May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1614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616140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27133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2713355" cy="8255"/>
                    </a:xfrm>
                    <a:prstGeom prst="rect">
                      <a:avLst/>
                    </a:prstGeom>
                    <a:noFill/>
                  </pic:spPr>
                </pic:pic>
              </a:graphicData>
            </a:graphic>
          </wp:anchor>
        </w:drawing>
      </w:r>
    </w:p>
    <w:p>
      <w:pPr>
        <w:spacing w:after="0" w:line="62" w:lineRule="exact"/>
        <w:rPr>
          <w:sz w:val="20"/>
          <w:szCs w:val="20"/>
          <w:color w:val="auto"/>
        </w:rPr>
      </w:pPr>
    </w:p>
    <w:p>
      <w:pPr>
        <w:ind w:left="1360" w:right="220" w:hanging="950"/>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77">
        <w:r>
          <w:rPr>
            <w:rFonts w:ascii="Times New Roman" w:cs="Times New Roman" w:eastAsia="Times New Roman" w:hAnsi="Times New Roman"/>
            <w:sz w:val="18"/>
            <w:szCs w:val="18"/>
            <w:u w:val="single" w:color="auto"/>
            <w:color w:val="0000FF"/>
          </w:rPr>
          <w:t>Form of FCF Performance Share Award Agreement (Executives) (Incorporated by reference from Exhibit 10.5 of Office Depot, Inc.’s</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Current Report on Form 8-K, filed with the SEC on May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144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614489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30905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62" w:lineRule="exact"/>
        <w:rPr>
          <w:sz w:val="20"/>
          <w:szCs w:val="20"/>
          <w:color w:val="auto"/>
        </w:rPr>
      </w:pPr>
    </w:p>
    <w:p>
      <w:pPr>
        <w:ind w:left="1360" w:right="200" w:hanging="950"/>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80">
        <w:r>
          <w:rPr>
            <w:rFonts w:ascii="Times New Roman" w:cs="Times New Roman" w:eastAsia="Times New Roman" w:hAnsi="Times New Roman"/>
            <w:sz w:val="18"/>
            <w:szCs w:val="18"/>
            <w:u w:val="single" w:color="auto"/>
            <w:color w:val="0000FF"/>
          </w:rPr>
          <w:t>Form of TSR Performance Share Award Agreement (Executives) (Incorporated by reference from Exhibit 10.6 of Office Depot, Inc.’s</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Current Report on Form 8-K, filed with the SEC on May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1506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615061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30905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62" w:lineRule="exact"/>
        <w:rPr>
          <w:sz w:val="20"/>
          <w:szCs w:val="20"/>
          <w:color w:val="auto"/>
        </w:rPr>
      </w:pPr>
    </w:p>
    <w:p>
      <w:pPr>
        <w:ind w:left="42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83">
        <w:r>
          <w:rPr>
            <w:rFonts w:ascii="Times New Roman" w:cs="Times New Roman" w:eastAsia="Times New Roman" w:hAnsi="Times New Roman"/>
            <w:sz w:val="17"/>
            <w:szCs w:val="17"/>
            <w:u w:val="single" w:color="auto"/>
            <w:color w:val="0000FF"/>
          </w:rPr>
          <w:t>Letter Agreement, dated May 14, 2020, between Office Depot, Inc. and D. Anthony Scaglione (Incorporated by reference from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61995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6199505" cy="8255"/>
                    </a:xfrm>
                    <a:prstGeom prst="rect">
                      <a:avLst/>
                    </a:prstGeom>
                    <a:noFill/>
                  </pic:spPr>
                </pic:pic>
              </a:graphicData>
            </a:graphic>
          </wp:anchor>
        </w:drawing>
      </w:r>
    </w:p>
    <w:p>
      <w:pPr>
        <w:spacing w:after="0" w:line="7"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10.1 of Office Depot, Inc.’s Current Report on Form 8-K, filed with the SEC on June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-19685</wp:posOffset>
            </wp:positionV>
            <wp:extent cx="44316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05" w:lineRule="exact"/>
        <w:rPr>
          <w:sz w:val="20"/>
          <w:szCs w:val="20"/>
          <w:color w:val="auto"/>
        </w:rPr>
      </w:pPr>
    </w:p>
    <w:p>
      <w:pPr>
        <w:ind w:left="1360" w:right="180" w:hanging="950"/>
        <w:spacing w:after="0" w:line="265"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86">
        <w:r>
          <w:rPr>
            <w:rFonts w:ascii="Times New Roman" w:cs="Times New Roman" w:eastAsia="Times New Roman" w:hAnsi="Times New Roman"/>
            <w:sz w:val="18"/>
            <w:szCs w:val="18"/>
            <w:u w:val="single" w:color="auto"/>
            <w:color w:val="0000FF"/>
          </w:rPr>
          <w:t>Amendment to Employment Agreement, dated July 1, 2020, by and between The ODP Corporation, Office Depot, LLC and Gerry P.</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Smith (Incorporated by reference from Exhibit 10.2 of The ODP Corporation’s Quarterly Report on Form 10-Q, filed with the SEC on</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November 5,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869950</wp:posOffset>
            </wp:positionH>
            <wp:positionV relativeFrom="paragraph">
              <wp:posOffset>-311785</wp:posOffset>
            </wp:positionV>
            <wp:extent cx="60953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609536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-174625</wp:posOffset>
            </wp:positionV>
            <wp:extent cx="6163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616394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-38100</wp:posOffset>
            </wp:positionV>
            <wp:extent cx="9759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76" w:lineRule="exact"/>
        <w:rPr>
          <w:rFonts w:ascii="Times New Roman" w:cs="Times New Roman" w:eastAsia="Times New Roman" w:hAnsi="Times New Roman"/>
          <w:sz w:val="18"/>
          <w:szCs w:val="18"/>
          <w:u w:val="single" w:color="auto"/>
          <w:color w:val="0000FF"/>
        </w:rPr>
      </w:pPr>
    </w:p>
    <w:p>
      <w:pPr>
        <w:jc w:val="right"/>
        <w:ind w:left="420" w:right="860"/>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190">
        <w:r>
          <w:rPr>
            <w:rFonts w:ascii="Times New Roman" w:cs="Times New Roman" w:eastAsia="Times New Roman" w:hAnsi="Times New Roman"/>
            <w:sz w:val="18"/>
            <w:szCs w:val="18"/>
            <w:u w:val="single" w:color="auto"/>
            <w:color w:val="0000FF"/>
          </w:rPr>
          <w:t>Assignment and Assumption Agreement, as of June 30, 2020, by and between The ODP Corporation and Office Depot, LLC</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FF"/>
          </w:rPr>
          <w:t>(Incorporated by reference from Exhibit 10.1 of The ODP Corporation’s Form 8-K12B, filed with the SEC on July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57315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573151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56762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5676265" cy="8255"/>
                    </a:xfrm>
                    <a:prstGeom prst="rect">
                      <a:avLst/>
                    </a:prstGeom>
                    <a:noFill/>
                  </pic:spPr>
                </pic:pic>
              </a:graphicData>
            </a:graphic>
          </wp:anchor>
        </w:drawing>
      </w:r>
    </w:p>
    <w:p>
      <w:pPr>
        <w:spacing w:after="0" w:line="62" w:lineRule="exact"/>
        <w:rPr>
          <w:sz w:val="20"/>
          <w:szCs w:val="20"/>
          <w:color w:val="auto"/>
        </w:rPr>
      </w:pPr>
    </w:p>
    <w:p>
      <w:pPr>
        <w:ind w:left="1360" w:right="640" w:hanging="950"/>
        <w:spacing w:after="0" w:line="312" w:lineRule="auto"/>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93">
        <w:r>
          <w:rPr>
            <w:rFonts w:ascii="Times New Roman" w:cs="Times New Roman" w:eastAsia="Times New Roman" w:hAnsi="Times New Roman"/>
            <w:sz w:val="17"/>
            <w:szCs w:val="17"/>
            <w:u w:val="single" w:color="auto"/>
            <w:color w:val="0000FF"/>
          </w:rPr>
          <w:t>Cooperation Agreement, by and among HG Vora Capital Management, LLC and The ODP Corporation, dated January 25, 2021</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(Incorporated by reference from Exhibit 10.1 of The ODP Corporation’s Form 8-K, filed with the SEC on January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-199390</wp:posOffset>
            </wp:positionV>
            <wp:extent cx="58737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587375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-62230</wp:posOffset>
            </wp:positionV>
            <wp:extent cx="5708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5708015" cy="8255"/>
                    </a:xfrm>
                    <a:prstGeom prst="rect">
                      <a:avLst/>
                    </a:prstGeom>
                    <a:noFill/>
                  </pic:spPr>
                </pic:pic>
              </a:graphicData>
            </a:graphic>
          </wp:anchor>
        </w:drawing>
      </w:r>
    </w:p>
    <w:p>
      <w:pPr>
        <w:spacing w:after="0" w:line="38" w:lineRule="exact"/>
        <w:rPr>
          <w:sz w:val="20"/>
          <w:szCs w:val="20"/>
          <w:color w:val="auto"/>
        </w:rPr>
      </w:pPr>
    </w:p>
    <w:p>
      <w:pPr>
        <w:jc w:val="both"/>
        <w:ind w:left="1360" w:right="360" w:hanging="943"/>
        <w:spacing w:after="0" w:line="265"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96">
        <w:r>
          <w:rPr>
            <w:rFonts w:ascii="Times New Roman" w:cs="Times New Roman" w:eastAsia="Times New Roman" w:hAnsi="Times New Roman"/>
            <w:sz w:val="18"/>
            <w:szCs w:val="18"/>
            <w:u w:val="single" w:color="auto"/>
            <w:color w:val="0000FF"/>
          </w:rPr>
          <w:t>Second Amendment to the Cooperation Agreement, by and among HG Vora Capital Management, LLC and The ODP Corporation,</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dated December 27, 2022 (Incorporated by reference from Exhibit 10.1 of The ODP Corporation’s Form 8-K, filed with the SEC on</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December 28,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869950</wp:posOffset>
            </wp:positionH>
            <wp:positionV relativeFrom="paragraph">
              <wp:posOffset>-311785</wp:posOffset>
            </wp:positionV>
            <wp:extent cx="6028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602869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-174625</wp:posOffset>
            </wp:positionV>
            <wp:extent cx="60598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05980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-38100</wp:posOffset>
            </wp:positionV>
            <wp:extent cx="9632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76" w:lineRule="exact"/>
        <w:rPr>
          <w:rFonts w:ascii="Times New Roman" w:cs="Times New Roman" w:eastAsia="Times New Roman" w:hAnsi="Times New Roman"/>
          <w:sz w:val="18"/>
          <w:szCs w:val="18"/>
          <w:u w:val="single" w:color="auto"/>
          <w:color w:val="0000FF"/>
        </w:rPr>
      </w:pPr>
    </w:p>
    <w:p>
      <w:pPr>
        <w:ind w:left="1360" w:hanging="943"/>
        <w:spacing w:after="0" w:line="265"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200">
        <w:r>
          <w:rPr>
            <w:rFonts w:ascii="Times New Roman" w:cs="Times New Roman" w:eastAsia="Times New Roman" w:hAnsi="Times New Roman"/>
            <w:sz w:val="18"/>
            <w:szCs w:val="18"/>
            <w:u w:val="single" w:color="auto"/>
            <w:color w:val="0000FF"/>
          </w:rPr>
          <w:t>First Amendment to the Cooperation Agreement, by and among HG Vora Capital Management, LLC and The ODP Corporation, dated</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December 30, 2021 (Incorporated by reference from Exhibit 10.1 of The ODP Corporation’s Form 8-K, filed with the SEC on January 3,</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869950</wp:posOffset>
            </wp:positionH>
            <wp:positionV relativeFrom="paragraph">
              <wp:posOffset>-311785</wp:posOffset>
            </wp:positionV>
            <wp:extent cx="61779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-174625</wp:posOffset>
            </wp:positionV>
            <wp:extent cx="62591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625919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-38100</wp:posOffset>
            </wp:positionV>
            <wp:extent cx="2946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294640" cy="8255"/>
                    </a:xfrm>
                    <a:prstGeom prst="rect">
                      <a:avLst/>
                    </a:prstGeom>
                    <a:noFill/>
                  </pic:spPr>
                </pic:pic>
              </a:graphicData>
            </a:graphic>
          </wp:anchor>
        </w:drawing>
      </w:r>
    </w:p>
    <w:p>
      <w:pPr>
        <w:spacing w:after="0" w:line="76" w:lineRule="exact"/>
        <w:rPr>
          <w:rFonts w:ascii="Times New Roman" w:cs="Times New Roman" w:eastAsia="Times New Roman" w:hAnsi="Times New Roman"/>
          <w:sz w:val="18"/>
          <w:szCs w:val="18"/>
          <w:u w:val="single" w:color="auto"/>
          <w:color w:val="0000FF"/>
        </w:rPr>
      </w:pPr>
    </w:p>
    <w:p>
      <w:pPr>
        <w:ind w:left="1360" w:right="160" w:hanging="943"/>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204">
        <w:r>
          <w:rPr>
            <w:rFonts w:ascii="Times New Roman" w:cs="Times New Roman" w:eastAsia="Times New Roman" w:hAnsi="Times New Roman"/>
            <w:sz w:val="18"/>
            <w:szCs w:val="18"/>
            <w:u w:val="single" w:color="auto"/>
            <w:color w:val="0000FF"/>
          </w:rPr>
          <w:t>The ODP Corporation 2021 Long-Term Incentive Plan (Incorporated by reference from Annex 1 of The ODP Corporation’s Definitive</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Proxy Statement on Schedule 14A, filed with the SEC on March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1779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34963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3496310" cy="8255"/>
                    </a:xfrm>
                    <a:prstGeom prst="rect">
                      <a:avLst/>
                    </a:prstGeom>
                    <a:noFill/>
                  </pic:spPr>
                </pic:pic>
              </a:graphicData>
            </a:graphic>
          </wp:anchor>
        </w:drawing>
      </w:r>
    </w:p>
    <w:p>
      <w:pPr>
        <w:spacing w:after="0" w:line="62" w:lineRule="exact"/>
        <w:rPr>
          <w:sz w:val="20"/>
          <w:szCs w:val="20"/>
          <w:color w:val="auto"/>
        </w:rPr>
      </w:pPr>
    </w:p>
    <w:p>
      <w:pPr>
        <w:ind w:left="1360" w:right="40" w:hanging="943"/>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07">
        <w:r>
          <w:rPr>
            <w:rFonts w:ascii="Times New Roman" w:cs="Times New Roman" w:eastAsia="Times New Roman" w:hAnsi="Times New Roman"/>
            <w:sz w:val="18"/>
            <w:szCs w:val="18"/>
            <w:u w:val="single" w:color="auto"/>
            <w:color w:val="0000FF"/>
          </w:rPr>
          <w:t>Form of 2021 Restricted Stock Unit Award Agreement (Incorporated by reference from Exhibit 10.2 of The ODP Corporation’s Form 8-</w:t>
        </w:r>
      </w:hyperlink>
      <w:hyperlink r:id="rId207">
        <w:r>
          <w:rPr>
            <w:rFonts w:ascii="Times New Roman" w:cs="Times New Roman" w:eastAsia="Times New Roman" w:hAnsi="Times New Roman"/>
            <w:sz w:val="18"/>
            <w:szCs w:val="18"/>
            <w:u w:val="single" w:color="auto"/>
            <w:color w:val="0000FF"/>
          </w:rPr>
          <w:t>K, filed with the SEC on April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233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19494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1949450" cy="8255"/>
                    </a:xfrm>
                    <a:prstGeom prst="rect">
                      <a:avLst/>
                    </a:prstGeom>
                    <a:noFill/>
                  </pic:spPr>
                </pic:pic>
              </a:graphicData>
            </a:graphic>
          </wp:anchor>
        </w:drawing>
      </w:r>
    </w:p>
    <w:p>
      <w:pPr>
        <w:spacing w:after="0" w:line="62" w:lineRule="exact"/>
        <w:rPr>
          <w:sz w:val="20"/>
          <w:szCs w:val="20"/>
          <w:color w:val="auto"/>
        </w:rPr>
      </w:pPr>
    </w:p>
    <w:p>
      <w:pPr>
        <w:ind w:left="42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210">
        <w:r>
          <w:rPr>
            <w:rFonts w:ascii="Times New Roman" w:cs="Times New Roman" w:eastAsia="Times New Roman" w:hAnsi="Times New Roman"/>
            <w:sz w:val="17"/>
            <w:szCs w:val="17"/>
            <w:u w:val="single" w:color="auto"/>
            <w:color w:val="0000FF"/>
          </w:rPr>
          <w:t>Form of 2021 Lump Sum Restricted Stock Unit Award Agreement (Non-Employee Directors) (Incorporated by reference from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61849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6184900" cy="8255"/>
                    </a:xfrm>
                    <a:prstGeom prst="rect">
                      <a:avLst/>
                    </a:prstGeom>
                    <a:noFill/>
                  </pic:spPr>
                </pic:pic>
              </a:graphicData>
            </a:graphic>
          </wp:anchor>
        </w:drawing>
      </w:r>
    </w:p>
    <w:p>
      <w:pPr>
        <w:spacing w:after="0" w:line="7"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10.3 of The ODP Corporation’s Form 8-K, filed with the SEC on April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-19685</wp:posOffset>
            </wp:positionV>
            <wp:extent cx="37909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3790950" cy="8255"/>
                    </a:xfrm>
                    <a:prstGeom prst="rect">
                      <a:avLst/>
                    </a:prstGeom>
                    <a:noFill/>
                  </pic:spPr>
                </pic:pic>
              </a:graphicData>
            </a:graphic>
          </wp:anchor>
        </w:drawing>
      </w:r>
    </w:p>
    <w:p>
      <w:pPr>
        <w:spacing w:after="0" w:line="105" w:lineRule="exact"/>
        <w:rPr>
          <w:sz w:val="20"/>
          <w:szCs w:val="20"/>
          <w:color w:val="auto"/>
        </w:rPr>
      </w:pPr>
    </w:p>
    <w:p>
      <w:pPr>
        <w:ind w:left="1360" w:right="60" w:hanging="943"/>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213">
        <w:r>
          <w:rPr>
            <w:rFonts w:ascii="Times New Roman" w:cs="Times New Roman" w:eastAsia="Times New Roman" w:hAnsi="Times New Roman"/>
            <w:sz w:val="18"/>
            <w:szCs w:val="18"/>
            <w:u w:val="single" w:color="auto"/>
            <w:color w:val="0000FF"/>
          </w:rPr>
          <w:t>Form of 2021 Installment Payment Restricted Stock Unit Award Agreement (Non-Employee Directors) (Incorporated by reference from</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Exhibit 10.4 of The ODP Corporation’s Form 8-K, filed with the SEC on April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2503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41554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62" w:lineRule="exact"/>
        <w:rPr>
          <w:sz w:val="20"/>
          <w:szCs w:val="20"/>
          <w:color w:val="auto"/>
        </w:rPr>
      </w:pPr>
    </w:p>
    <w:p>
      <w:pPr>
        <w:ind w:left="42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216">
        <w:r>
          <w:rPr>
            <w:rFonts w:ascii="Times New Roman" w:cs="Times New Roman" w:eastAsia="Times New Roman" w:hAnsi="Times New Roman"/>
            <w:sz w:val="17"/>
            <w:szCs w:val="17"/>
            <w:u w:val="single" w:color="auto"/>
            <w:color w:val="0000FF"/>
          </w:rPr>
          <w:t>Form of 2021 FCF Performance Share Award Agreement (Incorporated by reference from Exhibit 10.5 of The ODP Corporation’s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62503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6250305" cy="8255"/>
                    </a:xfrm>
                    <a:prstGeom prst="rect">
                      <a:avLst/>
                    </a:prstGeom>
                    <a:noFill/>
                  </pic:spPr>
                </pic:pic>
              </a:graphicData>
            </a:graphic>
          </wp:anchor>
        </w:drawing>
      </w:r>
    </w:p>
    <w:p>
      <w:pPr>
        <w:spacing w:after="0" w:line="7"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8-K, filed with the SEC on April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-19685</wp:posOffset>
            </wp:positionV>
            <wp:extent cx="2044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05" w:lineRule="exact"/>
        <w:rPr>
          <w:sz w:val="20"/>
          <w:szCs w:val="20"/>
          <w:color w:val="auto"/>
        </w:rPr>
      </w:pPr>
    </w:p>
    <w:p>
      <w:pPr>
        <w:ind w:left="42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219">
        <w:r>
          <w:rPr>
            <w:rFonts w:ascii="Times New Roman" w:cs="Times New Roman" w:eastAsia="Times New Roman" w:hAnsi="Times New Roman"/>
            <w:sz w:val="17"/>
            <w:szCs w:val="17"/>
            <w:u w:val="single" w:color="auto"/>
            <w:color w:val="0000FF"/>
          </w:rPr>
          <w:t>Form of 2021 TSR Performance Share Award Agreement (Incorporated by reference from Exhibit 10.6 of The ODP Corporation’s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6250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6250305" cy="8255"/>
                    </a:xfrm>
                    <a:prstGeom prst="rect">
                      <a:avLst/>
                    </a:prstGeom>
                    <a:noFill/>
                  </pic:spPr>
                </pic:pic>
              </a:graphicData>
            </a:graphic>
          </wp:anchor>
        </w:drawing>
      </w:r>
    </w:p>
    <w:p>
      <w:pPr>
        <w:spacing w:after="0" w:line="7"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8-K, filed with the SEC on April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-19685</wp:posOffset>
            </wp:positionV>
            <wp:extent cx="2044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05" w:lineRule="exact"/>
        <w:rPr>
          <w:sz w:val="20"/>
          <w:szCs w:val="20"/>
          <w:color w:val="auto"/>
        </w:rPr>
      </w:pPr>
    </w:p>
    <w:p>
      <w:pPr>
        <w:jc w:val="both"/>
        <w:ind w:left="1360" w:right="660" w:hanging="943"/>
        <w:spacing w:after="0" w:line="265"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222">
        <w:r>
          <w:rPr>
            <w:rFonts w:ascii="Times New Roman" w:cs="Times New Roman" w:eastAsia="Times New Roman" w:hAnsi="Times New Roman"/>
            <w:sz w:val="18"/>
            <w:szCs w:val="18"/>
            <w:u w:val="single" w:color="auto"/>
            <w:color w:val="0000FF"/>
          </w:rPr>
          <w:t>Executive Transition Agreement, dated as of September 28, 2021, by and between The ODP Corporation and N. David Bleisch</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(Incorporated by reference from Exhibit 10.1 of The ODP Corporation’s Quarterly Report on Form 10-Q, filed with the SEC on</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November 3,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869950</wp:posOffset>
            </wp:positionH>
            <wp:positionV relativeFrom="paragraph">
              <wp:posOffset>-311785</wp:posOffset>
            </wp:positionV>
            <wp:extent cx="58369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583692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-174625</wp:posOffset>
            </wp:positionV>
            <wp:extent cx="58629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58629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-38100</wp:posOffset>
            </wp:positionV>
            <wp:extent cx="9759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p>
      <w:pPr>
        <w:spacing w:after="0" w:line="299"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322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color w:val="auto"/>
                <w:w w:val="96"/>
              </w:rPr>
              <w:t>Exhibit</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p>
      <w:pPr>
        <w:ind w:left="1360" w:right="160" w:hanging="950"/>
        <w:spacing w:after="0" w:line="265"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229">
        <w:r>
          <w:rPr>
            <w:rFonts w:ascii="Times New Roman" w:cs="Times New Roman" w:eastAsia="Times New Roman" w:hAnsi="Times New Roman"/>
            <w:sz w:val="18"/>
            <w:szCs w:val="18"/>
            <w:u w:val="single" w:color="auto"/>
            <w:color w:val="0000FF"/>
          </w:rPr>
          <w:t>Securities Purchase Agreement with Lincoln Merger Sub Two LLC, CompuCom Super Holdings LLC, and Project Heritage</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Acquisition, LLC, dated December 31, 2021 (Incorporated by reference from Exhibit 10.30 of The ODP Corporation’s Annual Report</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on Form 10-K, filed with the SEC on February 23,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869950</wp:posOffset>
            </wp:positionH>
            <wp:positionV relativeFrom="paragraph">
              <wp:posOffset>-311785</wp:posOffset>
            </wp:positionV>
            <wp:extent cx="57073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570738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-174625</wp:posOffset>
            </wp:positionV>
            <wp:extent cx="61544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615442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-38100</wp:posOffset>
            </wp:positionV>
            <wp:extent cx="26911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76" w:lineRule="exact"/>
        <w:rPr>
          <w:rFonts w:ascii="Times New Roman" w:cs="Times New Roman" w:eastAsia="Times New Roman" w:hAnsi="Times New Roman"/>
          <w:sz w:val="18"/>
          <w:szCs w:val="18"/>
          <w:u w:val="single" w:color="auto"/>
          <w:color w:val="0000FF"/>
        </w:rPr>
      </w:pPr>
    </w:p>
    <w:p>
      <w:pPr>
        <w:ind w:left="1360" w:right="200" w:hanging="950"/>
        <w:spacing w:after="0" w:line="265"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233">
        <w:r>
          <w:rPr>
            <w:rFonts w:ascii="Times New Roman" w:cs="Times New Roman" w:eastAsia="Times New Roman" w:hAnsi="Times New Roman"/>
            <w:sz w:val="18"/>
            <w:szCs w:val="18"/>
            <w:u w:val="single" w:color="auto"/>
            <w:color w:val="0000FF"/>
          </w:rPr>
          <w:t>Stock Purchase Agreement, dated as of March 13, 2023, by and between HG Vora Special Opportunities Master Fund, Ltd. and The</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ODP Corporation (Incorporated by reference from Exhibit 10.1 of the ODP Corporation’s Current Report on Form 8-K, filed with the</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SEC on March 13,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869950</wp:posOffset>
            </wp:positionH>
            <wp:positionV relativeFrom="paragraph">
              <wp:posOffset>-311785</wp:posOffset>
            </wp:positionV>
            <wp:extent cx="60509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605091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-174625</wp:posOffset>
            </wp:positionV>
            <wp:extent cx="61360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613600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-38100</wp:posOffset>
            </wp:positionV>
            <wp:extent cx="11728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76" w:lineRule="exact"/>
        <w:rPr>
          <w:rFonts w:ascii="Times New Roman" w:cs="Times New Roman" w:eastAsia="Times New Roman" w:hAnsi="Times New Roman"/>
          <w:sz w:val="18"/>
          <w:szCs w:val="18"/>
          <w:u w:val="single" w:color="auto"/>
          <w:color w:val="0000FF"/>
        </w:rPr>
      </w:pPr>
    </w:p>
    <w:p>
      <w:pPr>
        <w:ind w:left="1360" w:hanging="950"/>
        <w:spacing w:after="0" w:line="260"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237">
        <w:r>
          <w:rPr>
            <w:rFonts w:ascii="Times New Roman" w:cs="Times New Roman" w:eastAsia="Times New Roman" w:hAnsi="Times New Roman"/>
            <w:sz w:val="18"/>
            <w:szCs w:val="18"/>
            <w:u w:val="single" w:color="auto"/>
            <w:color w:val="0000FF"/>
          </w:rPr>
          <w:t>Second Amendment, dated as of March 31, 2023, among the ODP Corporation, ODP Investment, LLC, Office Depot, LLC, Grand &amp;</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Toy Limited/Grand &amp; Toy Limiteé, as Borrowers, JP Morgan Chase Bank, N.A., as Administrative Agent, and the other lenders referred</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to therein (Incorporated by reference from Exhibit 10.1 of The ODP Corporation’s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April 6,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869950</wp:posOffset>
            </wp:positionH>
            <wp:positionV relativeFrom="paragraph">
              <wp:posOffset>-445770</wp:posOffset>
            </wp:positionV>
            <wp:extent cx="61150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611505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-309245</wp:posOffset>
            </wp:positionV>
            <wp:extent cx="62591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625919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-172085</wp:posOffset>
            </wp:positionV>
            <wp:extent cx="61798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617982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-34925</wp:posOffset>
            </wp:positionV>
            <wp:extent cx="678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spacing w:after="0" w:line="81" w:lineRule="exact"/>
        <w:rPr>
          <w:rFonts w:ascii="Times New Roman" w:cs="Times New Roman" w:eastAsia="Times New Roman" w:hAnsi="Times New Roman"/>
          <w:sz w:val="18"/>
          <w:szCs w:val="18"/>
          <w:u w:val="single" w:color="auto"/>
          <w:color w:val="0000FF"/>
        </w:rPr>
      </w:pPr>
    </w:p>
    <w:p>
      <w:pPr>
        <w:ind w:left="1360" w:right="240" w:hanging="950"/>
        <w:spacing w:after="0" w:line="281"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242">
        <w:r>
          <w:rPr>
            <w:rFonts w:ascii="Times New Roman" w:cs="Times New Roman" w:eastAsia="Times New Roman" w:hAnsi="Times New Roman"/>
            <w:sz w:val="18"/>
            <w:szCs w:val="18"/>
            <w:u w:val="single" w:color="auto"/>
            <w:color w:val="0000FF"/>
          </w:rPr>
          <w:t>Varis, Inc. Equity Incentive Plan Option Award Agreement (Incorporated by reference from Exhibit 10.01 of The ODP Corporation’s</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Quarterly Report on Form 10-Q, filed with the SEC on August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-184150</wp:posOffset>
            </wp:positionV>
            <wp:extent cx="6108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6108700"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-46990</wp:posOffset>
            </wp:positionV>
            <wp:extent cx="33566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62" w:lineRule="exact"/>
        <w:rPr>
          <w:sz w:val="20"/>
          <w:szCs w:val="20"/>
          <w:color w:val="auto"/>
        </w:rPr>
      </w:pPr>
    </w:p>
    <w:p>
      <w:pPr>
        <w:ind w:left="1360" w:hanging="822"/>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The ODP Corporation’s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2063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2063115" cy="8255"/>
                    </a:xfrm>
                    <a:prstGeom prst="rect">
                      <a:avLst/>
                    </a:prstGeom>
                    <a:noFill/>
                  </pic:spPr>
                </pic:pic>
              </a:graphicData>
            </a:graphic>
          </wp:anchor>
        </w:drawing>
      </w:r>
    </w:p>
    <w:p>
      <w:pPr>
        <w:spacing w:after="0" w:line="11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23.1</w:t>
            </w:r>
          </w:p>
        </w:tc>
        <w:tc>
          <w:tcPr>
            <w:tcW w:w="98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31.1</w:t>
            </w:r>
          </w:p>
        </w:tc>
        <w:tc>
          <w:tcPr>
            <w:tcW w:w="98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 Securities and Exchange Commission Rule 13a-14(a) or 15d-14(a).</w:t>
            </w:r>
          </w:p>
        </w:tc>
      </w:tr>
      <w:tr>
        <w:trPr>
          <w:trHeight w:val="331"/>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31.2</w:t>
            </w:r>
          </w:p>
        </w:tc>
        <w:tc>
          <w:tcPr>
            <w:tcW w:w="88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required by Securities and Exchange Commission Rule 13a-14(a) or 15d-14(a).</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32.1</w:t>
            </w:r>
          </w:p>
        </w:tc>
        <w:tc>
          <w:tcPr>
            <w:tcW w:w="9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196"/>
        </w:trPr>
        <w:tc>
          <w:tcPr>
            <w:tcW w:w="880" w:type="dxa"/>
            <w:vAlign w:val="bottom"/>
          </w:tcPr>
          <w:p>
            <w:pPr>
              <w:spacing w:after="0"/>
              <w:rPr>
                <w:sz w:val="17"/>
                <w:szCs w:val="17"/>
                <w:color w:val="auto"/>
              </w:rPr>
            </w:pPr>
          </w:p>
        </w:tc>
        <w:tc>
          <w:tcPr>
            <w:tcW w:w="982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43" w:lineRule="exact"/>
        <w:rPr>
          <w:sz w:val="20"/>
          <w:szCs w:val="20"/>
          <w:color w:val="auto"/>
        </w:rPr>
      </w:pPr>
    </w:p>
    <w:p>
      <w:pPr>
        <w:ind w:left="1360" w:hanging="822"/>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Policy for the Recovery of Erroneously Awarded Incentive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36817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3681730" cy="8255"/>
                    </a:xfrm>
                    <a:prstGeom prst="rect">
                      <a:avLst/>
                    </a:prstGeom>
                    <a:noFill/>
                  </pic:spPr>
                </pic:pic>
              </a:graphicData>
            </a:graphic>
          </wp:anchor>
        </w:drawing>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101.INS</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860" w:type="dxa"/>
            <w:vAlign w:val="bottom"/>
          </w:tcPr>
          <w:p>
            <w:pPr>
              <w:spacing w:after="0"/>
              <w:rPr>
                <w:sz w:val="20"/>
                <w:szCs w:val="20"/>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51"/>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101.SCH</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16" w:lineRule="exact"/>
        <w:rPr>
          <w:sz w:val="20"/>
          <w:szCs w:val="20"/>
          <w:color w:val="auto"/>
        </w:rPr>
      </w:pPr>
    </w:p>
    <w:p>
      <w:pPr>
        <w:ind w:left="1360" w:hanging="867"/>
        <w:spacing w:after="0"/>
        <w:tabs>
          <w:tab w:leader="none" w:pos="13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794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February 2024.</w:t>
      </w:r>
    </w:p>
    <w:p>
      <w:pPr>
        <w:spacing w:after="0" w:line="3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ODP CORPORATION</w:t>
      </w:r>
    </w:p>
    <w:p>
      <w:pPr>
        <w:spacing w:after="0" w:line="27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GERRY P. SMITH</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Gerry P. Smith</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 on February 28,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w:t>
            </w:r>
          </w:p>
        </w:tc>
        <w:tc>
          <w:tcPr>
            <w:tcW w:w="7260" w:type="dxa"/>
            <w:vAlign w:val="bottom"/>
          </w:tcPr>
          <w:p>
            <w:pPr>
              <w:ind w:left="4300"/>
              <w:spacing w:after="0"/>
              <w:rPr>
                <w:sz w:val="20"/>
                <w:szCs w:val="20"/>
                <w:color w:val="auto"/>
              </w:rPr>
            </w:pPr>
            <w:r>
              <w:rPr>
                <w:rFonts w:ascii="Times New Roman" w:cs="Times New Roman" w:eastAsia="Times New Roman" w:hAnsi="Times New Roman"/>
                <w:sz w:val="14"/>
                <w:szCs w:val="14"/>
                <w:color w:val="auto"/>
              </w:rPr>
              <w:t>Capacity</w:t>
            </w:r>
          </w:p>
        </w:tc>
      </w:tr>
      <w:tr>
        <w:trPr>
          <w:trHeight w:val="35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GERRY P. SMITH</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Chief Executive Officer (Principal Executive Officer), Director</w:t>
            </w: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Gerry P. Smith</w:t>
            </w:r>
          </w:p>
        </w:tc>
        <w:tc>
          <w:tcPr>
            <w:tcW w:w="7260" w:type="dxa"/>
            <w:vAlign w:val="bottom"/>
          </w:tcPr>
          <w:p>
            <w:pPr>
              <w:spacing w:after="0"/>
              <w:rPr>
                <w:sz w:val="20"/>
                <w:szCs w:val="20"/>
                <w:color w:val="auto"/>
              </w:rPr>
            </w:pPr>
          </w:p>
        </w:tc>
      </w:tr>
      <w:tr>
        <w:trPr>
          <w:trHeight w:val="37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 ANTHONY SCAGLIONE</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 Financial</w:t>
            </w: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Anthony Scaglione</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Officer)</w:t>
            </w:r>
          </w:p>
        </w:tc>
      </w:tr>
      <w:tr>
        <w:trPr>
          <w:trHeight w:val="37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MAX W. HOOD</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Senior Vice President and Chief Accounting Officer (Principal</w:t>
            </w: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W. Hood</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91"/>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S. VASSALLUZZO</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Chairman, Board of Directors</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S. Vassalluzzo</w:t>
            </w:r>
          </w:p>
        </w:tc>
        <w:tc>
          <w:tcPr>
            <w:tcW w:w="7260" w:type="dxa"/>
            <w:vAlign w:val="bottom"/>
          </w:tcPr>
          <w:p>
            <w:pPr>
              <w:spacing w:after="0"/>
              <w:rPr>
                <w:sz w:val="21"/>
                <w:szCs w:val="21"/>
                <w:color w:val="auto"/>
              </w:rPr>
            </w:pPr>
          </w:p>
        </w:tc>
      </w:tr>
      <w:tr>
        <w:trPr>
          <w:trHeight w:val="391"/>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QUINCY L. ALLEN</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Quincy L. Allen</w:t>
            </w:r>
          </w:p>
        </w:tc>
        <w:tc>
          <w:tcPr>
            <w:tcW w:w="7260" w:type="dxa"/>
            <w:vAlign w:val="bottom"/>
          </w:tcPr>
          <w:p>
            <w:pPr>
              <w:spacing w:after="0"/>
              <w:rPr>
                <w:sz w:val="21"/>
                <w:szCs w:val="21"/>
                <w:color w:val="auto"/>
              </w:rPr>
            </w:pPr>
          </w:p>
        </w:tc>
      </w:tr>
      <w:tr>
        <w:trPr>
          <w:trHeight w:val="391"/>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KRISTIN A. CAMPBELL</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A. Campbell</w:t>
            </w:r>
          </w:p>
        </w:tc>
        <w:tc>
          <w:tcPr>
            <w:tcW w:w="7260" w:type="dxa"/>
            <w:vAlign w:val="bottom"/>
          </w:tcPr>
          <w:p>
            <w:pPr>
              <w:spacing w:after="0"/>
              <w:rPr>
                <w:sz w:val="21"/>
                <w:szCs w:val="21"/>
                <w:color w:val="auto"/>
              </w:rPr>
            </w:pPr>
          </w:p>
        </w:tc>
      </w:tr>
      <w:tr>
        <w:trPr>
          <w:trHeight w:val="391"/>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CYNTHIA T. JAMISON</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Cynthia T. Jamison</w:t>
            </w:r>
          </w:p>
        </w:tc>
        <w:tc>
          <w:tcPr>
            <w:tcW w:w="7260" w:type="dxa"/>
            <w:vAlign w:val="bottom"/>
          </w:tcPr>
          <w:p>
            <w:pPr>
              <w:spacing w:after="0"/>
              <w:rPr>
                <w:sz w:val="21"/>
                <w:szCs w:val="21"/>
                <w:color w:val="auto"/>
              </w:rPr>
            </w:pPr>
          </w:p>
        </w:tc>
      </w:tr>
      <w:tr>
        <w:trPr>
          <w:trHeight w:val="391"/>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SHASHANK SAMANT</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Shashank Samant</w:t>
            </w:r>
          </w:p>
        </w:tc>
        <w:tc>
          <w:tcPr>
            <w:tcW w:w="7260" w:type="dxa"/>
            <w:vAlign w:val="bottom"/>
          </w:tcPr>
          <w:p>
            <w:pPr>
              <w:spacing w:after="0"/>
              <w:rPr>
                <w:sz w:val="21"/>
                <w:szCs w:val="21"/>
                <w:color w:val="auto"/>
              </w:rPr>
            </w:pPr>
          </w:p>
        </w:tc>
      </w:tr>
      <w:tr>
        <w:trPr>
          <w:trHeight w:val="37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WENDY L. SCHOPPERT</w:t>
            </w:r>
          </w:p>
        </w:tc>
        <w:tc>
          <w:tcPr>
            <w:tcW w:w="72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L. Schoppert</w:t>
            </w:r>
          </w:p>
        </w:tc>
        <w:tc>
          <w:tcPr>
            <w:tcW w:w="7260" w:type="dxa"/>
            <w:vAlign w:val="bottom"/>
          </w:tcPr>
          <w:p>
            <w:pPr>
              <w:spacing w:after="0"/>
              <w:rPr>
                <w:sz w:val="20"/>
                <w:szCs w:val="20"/>
                <w:color w:val="auto"/>
              </w:rPr>
            </w:pPr>
          </w:p>
        </w:tc>
      </w:tr>
      <w:tr>
        <w:trPr>
          <w:trHeight w:val="661"/>
        </w:trPr>
        <w:tc>
          <w:tcPr>
            <w:tcW w:w="3980" w:type="dxa"/>
            <w:vAlign w:val="bottom"/>
          </w:tcPr>
          <w:p>
            <w:pPr>
              <w:spacing w:after="0"/>
              <w:rPr>
                <w:sz w:val="24"/>
                <w:szCs w:val="24"/>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54</w:t>
            </w:r>
          </w:p>
        </w:tc>
      </w:tr>
      <w:tr>
        <w:trPr>
          <w:trHeight w:val="762"/>
        </w:trPr>
        <w:tc>
          <w:tcPr>
            <w:tcW w:w="39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20" w:type="dxa"/>
            <w:vAlign w:val="bottom"/>
          </w:tcPr>
          <w:p>
            <w:pPr>
              <w:spacing w:after="0"/>
              <w:rPr>
                <w:sz w:val="15"/>
                <w:szCs w:val="15"/>
                <w:color w:val="auto"/>
              </w:rPr>
            </w:pPr>
          </w:p>
        </w:tc>
        <w:tc>
          <w:tcPr>
            <w:tcW w:w="4220" w:type="dxa"/>
            <w:vAlign w:val="bottom"/>
            <w:tcBorders>
              <w:bottom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60" w:type="dxa"/>
            <w:vAlign w:val="bottom"/>
            <w:gridSpan w:val="2"/>
          </w:tcPr>
          <w:p>
            <w:pPr>
              <w:spacing w:after="0"/>
              <w:rPr>
                <w:sz w:val="15"/>
                <w:szCs w:val="15"/>
                <w:color w:val="auto"/>
              </w:rPr>
            </w:pPr>
          </w:p>
        </w:tc>
        <w:tc>
          <w:tcPr>
            <w:tcW w:w="57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56</w:t>
            </w:r>
          </w:p>
        </w:tc>
      </w:tr>
      <w:tr>
        <w:trPr>
          <w:trHeight w:val="223"/>
        </w:trPr>
        <w:tc>
          <w:tcPr>
            <w:tcW w:w="20" w:type="dxa"/>
            <w:vAlign w:val="bottom"/>
          </w:tcPr>
          <w:p>
            <w:pPr>
              <w:spacing w:after="0"/>
              <w:rPr>
                <w:sz w:val="19"/>
                <w:szCs w:val="19"/>
                <w:color w:val="auto"/>
              </w:rPr>
            </w:pPr>
          </w:p>
        </w:tc>
        <w:tc>
          <w:tcPr>
            <w:tcW w:w="2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40" w:type="dxa"/>
            <w:vAlign w:val="bottom"/>
            <w:tcBorders>
              <w:bottom w:val="single" w:sz="8" w:color="0000EE"/>
            </w:tcBorders>
          </w:tcPr>
          <w:p>
            <w:pPr>
              <w:spacing w:after="0"/>
              <w:rPr>
                <w:sz w:val="19"/>
                <w:szCs w:val="19"/>
                <w:color w:val="auto"/>
              </w:rPr>
            </w:pPr>
          </w:p>
        </w:tc>
        <w:tc>
          <w:tcPr>
            <w:tcW w:w="2020" w:type="dxa"/>
            <w:vAlign w:val="bottom"/>
            <w:gridSpan w:val="10"/>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640" w:type="dxa"/>
            <w:vAlign w:val="bottom"/>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20" w:type="dxa"/>
            <w:vAlign w:val="bottom"/>
          </w:tcPr>
          <w:p>
            <w:pPr>
              <w:spacing w:after="0"/>
              <w:rPr>
                <w:sz w:val="19"/>
                <w:szCs w:val="19"/>
                <w:color w:val="auto"/>
              </w:rPr>
            </w:pPr>
          </w:p>
        </w:tc>
        <w:tc>
          <w:tcPr>
            <w:tcW w:w="48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0" w:type="dxa"/>
            <w:vAlign w:val="bottom"/>
          </w:tcPr>
          <w:p>
            <w:pPr>
              <w:spacing w:after="0"/>
              <w:rPr>
                <w:sz w:val="19"/>
                <w:szCs w:val="19"/>
                <w:color w:val="auto"/>
              </w:rPr>
            </w:pPr>
          </w:p>
        </w:tc>
        <w:tc>
          <w:tcPr>
            <w:tcW w:w="35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40" w:type="dxa"/>
            <w:vAlign w:val="bottom"/>
            <w:gridSpan w:val="7"/>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 Summary of Significant Accounting Policies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Note 2. Acquisitions</w:t>
            </w:r>
          </w:p>
        </w:tc>
        <w:tc>
          <w:tcPr>
            <w:tcW w:w="760" w:type="dxa"/>
            <w:vAlign w:val="bottom"/>
            <w:gridSpan w:val="3"/>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Note 3. Merger, Restructuring and Other Activity</w:t>
            </w:r>
          </w:p>
        </w:tc>
        <w:tc>
          <w:tcPr>
            <w:tcW w:w="1000" w:type="dxa"/>
            <w:vAlign w:val="bottom"/>
            <w:gridSpan w:val="4"/>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 4. Segment Information</w:t>
            </w:r>
          </w:p>
        </w:tc>
        <w:tc>
          <w:tcPr>
            <w:tcW w:w="2440" w:type="dxa"/>
            <w:vAlign w:val="bottom"/>
            <w:gridSpan w:val="17"/>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Note 5. Income Taxes</w:t>
            </w:r>
          </w:p>
        </w:tc>
        <w:tc>
          <w:tcPr>
            <w:tcW w:w="20" w:type="dxa"/>
            <w:vAlign w:val="bottom"/>
            <w:tcBorders>
              <w:bottom w:val="single" w:sz="8" w:color="0000EE"/>
            </w:tcBorders>
          </w:tcPr>
          <w:p>
            <w:pPr>
              <w:spacing w:after="0"/>
              <w:rPr>
                <w:sz w:val="19"/>
                <w:szCs w:val="19"/>
                <w:color w:val="auto"/>
              </w:rPr>
            </w:pPr>
          </w:p>
        </w:tc>
        <w:tc>
          <w:tcPr>
            <w:tcW w:w="2960" w:type="dxa"/>
            <w:vAlign w:val="bottom"/>
            <w:gridSpan w:val="19"/>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6. Earnings (Loss) Per Share</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 7. Property and Equipment</w:t>
            </w:r>
          </w:p>
        </w:tc>
        <w:tc>
          <w:tcPr>
            <w:tcW w:w="20" w:type="dxa"/>
            <w:vAlign w:val="bottom"/>
            <w:tcBorders>
              <w:top w:val="single" w:sz="8" w:color="0000FF"/>
              <w:bottom w:val="single" w:sz="8" w:color="0000EE"/>
            </w:tcBorders>
          </w:tcPr>
          <w:p>
            <w:pPr>
              <w:spacing w:after="0"/>
              <w:rPr>
                <w:sz w:val="19"/>
                <w:szCs w:val="19"/>
                <w:color w:val="auto"/>
              </w:rPr>
            </w:pPr>
          </w:p>
        </w:tc>
        <w:tc>
          <w:tcPr>
            <w:tcW w:w="100" w:type="dxa"/>
            <w:vAlign w:val="bottom"/>
            <w:tcBorders>
              <w:top w:val="single" w:sz="8" w:color="0000FF"/>
            </w:tcBorders>
            <w:gridSpan w:val="2"/>
          </w:tcPr>
          <w:p>
            <w:pPr>
              <w:spacing w:after="0"/>
              <w:rPr>
                <w:sz w:val="19"/>
                <w:szCs w:val="19"/>
                <w:color w:val="auto"/>
              </w:rPr>
            </w:pPr>
          </w:p>
        </w:tc>
        <w:tc>
          <w:tcPr>
            <w:tcW w:w="2100" w:type="dxa"/>
            <w:vAlign w:val="bottom"/>
            <w:gridSpan w:val="12"/>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8. Goodwill and Other Intangible Assets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Note 9. Debt</w:t>
            </w:r>
          </w:p>
        </w:tc>
        <w:tc>
          <w:tcPr>
            <w:tcW w:w="1260" w:type="dxa"/>
            <w:vAlign w:val="bottom"/>
            <w:gridSpan w:val="6"/>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Note 10. Leases</w:t>
            </w:r>
          </w:p>
        </w:tc>
        <w:tc>
          <w:tcPr>
            <w:tcW w:w="20" w:type="dxa"/>
            <w:vAlign w:val="bottom"/>
            <w:tcBorders>
              <w:bottom w:val="single" w:sz="8" w:color="0000EE"/>
            </w:tcBorders>
          </w:tcPr>
          <w:p>
            <w:pPr>
              <w:spacing w:after="0"/>
              <w:rPr>
                <w:sz w:val="19"/>
                <w:szCs w:val="19"/>
                <w:color w:val="auto"/>
              </w:rPr>
            </w:pPr>
          </w:p>
        </w:tc>
        <w:tc>
          <w:tcPr>
            <w:tcW w:w="3380" w:type="dxa"/>
            <w:vAlign w:val="bottom"/>
            <w:gridSpan w:val="22"/>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11. Stockholders’ Equity</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12. Stock-Based Compensation</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 13. Employee Benefit Plans</w:t>
            </w:r>
          </w:p>
        </w:tc>
        <w:tc>
          <w:tcPr>
            <w:tcW w:w="1900" w:type="dxa"/>
            <w:vAlign w:val="bottom"/>
            <w:gridSpan w:val="9"/>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Borders>
              <w:right w:val="single" w:sz="8" w:color="0000FF"/>
            </w:tcBorders>
            <w:gridSpan w:val="7"/>
            <w:shd w:val="clear" w:color="auto" w:fill="0000FF"/>
          </w:tcPr>
          <w:p>
            <w:pPr>
              <w:spacing w:after="0" w:line="20" w:lineRule="exact"/>
              <w:rPr>
                <w:sz w:val="1"/>
                <w:szCs w:val="1"/>
                <w:color w:val="auto"/>
              </w:rPr>
            </w:pPr>
          </w:p>
        </w:tc>
        <w:tc>
          <w:tcPr>
            <w:tcW w:w="640" w:type="dxa"/>
            <w:vAlign w:val="bottom"/>
            <w:tcBorders>
              <w:right w:val="single" w:sz="8" w:color="0000EE"/>
            </w:tcBorders>
            <w:gridSpan w:val="5"/>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14. Fair Value Measurements</w:t>
            </w:r>
          </w:p>
        </w:tc>
        <w:tc>
          <w:tcPr>
            <w:tcW w:w="2020" w:type="dxa"/>
            <w:vAlign w:val="bottom"/>
            <w:gridSpan w:val="10"/>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 15. Contingencies</w:t>
            </w:r>
          </w:p>
        </w:tc>
        <w:tc>
          <w:tcPr>
            <w:tcW w:w="2780" w:type="dxa"/>
            <w:vAlign w:val="bottom"/>
            <w:gridSpan w:val="18"/>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16. Discontinued Operations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13"/>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17. Quarterly Financial Data (Unaudited)</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6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ODP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ODP Corporation and subsidiaries (the “Company”) as of December 30, 2023 and December 31, 2022, the related consolidated statements of operations, comprehensive income (loss), stockholders' equity, and cash flows, for each of the three fiscal years in the period ended December 30, 2023, and the related notes (collectively referred to as the “financial statements”). In our opinion, the financial statements present fairly, in all material respects, the financial position of the Company as of December 30, 2023 and December 31, 2022, and the results of its operations and its cash flows for each of the three fiscal years in the period ended December 30, 2023, in conformity with accounting principles generally accepted in the United States of America.</w:t>
      </w:r>
    </w:p>
    <w:p>
      <w:pPr>
        <w:spacing w:after="0" w:line="13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30, 2023, based on criteria established in Internal Control — Integrated Framework (2013) issued by the Committee of Sponsoring Organizations of the Treadway Commission and our report dated February 28, 2024 expressed an unqualified opinion on the Company's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1 and 8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evaluates goodwill for impairment at least annually at the reporting unit level, or more often if an indicator of impairment is present, by comparing allocated carrying value of goodwill to the estimated fair value of the respective reporting unit or through a qualitative assessment to determine whether it is not more likely than not that the fair value of the reporting units are less than their respective carrying amounts. The determination of fair value of the reporting units, or events and conditions affecting fair value in the case of a qualitative analysis, require management to make significant estimates and assumptions related to forecasts of future revenues, cost of sales, expenses and the weighted-average cost of capital for each reporting unit. An adverse change in these factors could have a significant impact on the recoverability of goodwill and could have a material impact on the financial statements.</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As of November 26, 2023, the Company performed its annual impairment assessment, which included a quantitative assessment for the Varis reporting unit. Based upon these tests, it was concluded that the carrying amount of the Varis reporting unit exceeded its fair value, resulting in a full impairment of the goodwill balance allocated to the Varis reporting unit. The total consolidated goodwill balance as of December 30, 2023, was $403 million, net of impairment charges of $68 million associated with the Varis reporting unit.</w:t>
      </w:r>
    </w:p>
    <w:p>
      <w:pPr>
        <w:spacing w:after="0" w:line="1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identified the goodwill balance related to the Varis reporting unit as a critical audit matter. Given the significant judgments made by management to estimate the fair value of the Varis reporting unit, performing audit procedures to evaluate the reasonableness of management’s estimates and assumptions related to forecasts of future revenues, cost of sales, expenses and the weighted-average cost of capital, required a high degree of auditor judgment and an increased extent of effort, including the need to involve our fair value specialists.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Our audit procedures related to management’s judgments related to forecasts of future revenues, cost of sales, expenses, and weighted-average cost of capital for the Varis reporting unit included the following, among others:</w:t>
      </w:r>
    </w:p>
    <w:p>
      <w:pPr>
        <w:spacing w:after="0" w:line="109" w:lineRule="exact"/>
        <w:rPr>
          <w:sz w:val="20"/>
          <w:szCs w:val="20"/>
          <w:color w:val="auto"/>
        </w:rPr>
      </w:pPr>
    </w:p>
    <w:p>
      <w:pPr>
        <w:ind w:left="760" w:right="12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relating to management’s goodwill impairment test, including those over the forecasts and the weighted-average cost of capital.</w:t>
      </w:r>
    </w:p>
    <w:p>
      <w:pPr>
        <w:spacing w:after="0" w:line="108" w:lineRule="exact"/>
        <w:rPr>
          <w:rFonts w:ascii="Times New Roman" w:cs="Times New Roman" w:eastAsia="Times New Roman" w:hAnsi="Times New Roman"/>
          <w:sz w:val="18"/>
          <w:szCs w:val="18"/>
          <w:color w:val="auto"/>
        </w:rPr>
      </w:pPr>
    </w:p>
    <w:p>
      <w:pPr>
        <w:ind w:left="760" w:right="80" w:hanging="378"/>
        <w:spacing w:after="0" w:line="26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cost of sales and expenses forecast by comparing the forecast to (1) the actual historical results of the Varis reporting unit, (2) internal communications amongst management and the Board of Directors, (3) external communications made by management to analysts and investors, (4) evidence obtained throughout the audit, and (5) industry reports discussing the operating forecasts for the technology services industry.</w:t>
      </w:r>
    </w:p>
    <w:p>
      <w:pPr>
        <w:spacing w:after="0" w:line="127" w:lineRule="exact"/>
        <w:rPr>
          <w:rFonts w:ascii="Times New Roman" w:cs="Times New Roman" w:eastAsia="Times New Roman" w:hAnsi="Times New Roman"/>
          <w:sz w:val="18"/>
          <w:szCs w:val="18"/>
          <w:color w:val="auto"/>
        </w:rPr>
      </w:pPr>
    </w:p>
    <w:p>
      <w:pPr>
        <w:ind w:left="760" w:right="70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 range of independent estimates based on the key inputs into the discounted cash flow model and compared those to the assumptions used by management.</w:t>
      </w:r>
    </w:p>
    <w:p>
      <w:pPr>
        <w:spacing w:after="0" w:line="108"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valuation methodology and assumptions used to determine the fair value of the Varis reporting unit, such as the weighted average cost of capital, by</w:t>
      </w:r>
    </w:p>
    <w:p>
      <w:pPr>
        <w:spacing w:after="0" w:line="109" w:lineRule="exact"/>
        <w:rPr>
          <w:sz w:val="20"/>
          <w:szCs w:val="20"/>
          <w:color w:val="auto"/>
        </w:rPr>
      </w:pPr>
    </w:p>
    <w:p>
      <w:pPr>
        <w:ind w:left="1500" w:hanging="369"/>
        <w:spacing w:after="0"/>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underlying source information and mathematical accuracy of the calculations;</w:t>
      </w:r>
    </w:p>
    <w:p>
      <w:pPr>
        <w:spacing w:after="0" w:line="170"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weighted-average cost of capital, comparing the amount used by management to the amounts associated with other technology services companies with a similar risk profile; and</w:t>
      </w:r>
    </w:p>
    <w:p>
      <w:pPr>
        <w:spacing w:after="0" w:line="108" w:lineRule="exact"/>
        <w:rPr>
          <w:rFonts w:ascii="Times New Roman" w:cs="Times New Roman" w:eastAsia="Times New Roman" w:hAnsi="Times New Roman"/>
          <w:sz w:val="18"/>
          <w:szCs w:val="18"/>
          <w:color w:val="auto"/>
        </w:rPr>
      </w:pPr>
    </w:p>
    <w:p>
      <w:pPr>
        <w:ind w:left="1500" w:right="220" w:hanging="369"/>
        <w:spacing w:after="0" w:line="281"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interaction between the weighted-average cost of capital and the forecasts to understand and sensitize management’s assumptions regarding risk inherent in the forecast.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1990.</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7,831</w:t>
            </w:r>
          </w:p>
        </w:tc>
        <w:tc>
          <w:tcPr>
            <w:tcW w:w="122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8,491</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8,465</w:t>
            </w: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and occupancy costs</w:t>
            </w: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6,065</w:t>
            </w:r>
          </w:p>
        </w:tc>
        <w:tc>
          <w:tcPr>
            <w:tcW w:w="1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6,643</w:t>
            </w: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6,602</w:t>
            </w:r>
          </w:p>
        </w:tc>
      </w:tr>
      <w:tr>
        <w:trPr>
          <w:trHeight w:val="240"/>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1,766</w:t>
            </w:r>
          </w:p>
        </w:tc>
        <w:tc>
          <w:tcPr>
            <w:tcW w:w="1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1,848</w:t>
            </w:r>
          </w:p>
        </w:tc>
        <w:tc>
          <w:tcPr>
            <w:tcW w:w="5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1,863</w:t>
            </w: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1,476</w:t>
            </w:r>
          </w:p>
        </w:tc>
        <w:tc>
          <w:tcPr>
            <w:tcW w:w="122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1,552</w:t>
            </w:r>
          </w:p>
        </w:tc>
        <w:tc>
          <w:tcPr>
            <w:tcW w:w="50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1,558</w:t>
            </w: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1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restructuring and other operating expenses, net</w:t>
            </w: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r>
      <w:tr>
        <w:trPr>
          <w:trHeight w:val="240"/>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(20 )</w:t>
            </w:r>
          </w:p>
        </w:tc>
        <w:tc>
          <w:tcPr>
            <w:tcW w:w="12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5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10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r>
      <w:tr>
        <w:trPr>
          <w:trHeight w:val="245"/>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10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w:t>
            </w:r>
          </w:p>
        </w:tc>
        <w:tc>
          <w:tcPr>
            <w:tcW w:w="50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1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5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166</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0"/>
        </w:trPr>
        <w:tc>
          <w:tcPr>
            <w:tcW w:w="5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8"/>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3.73</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(0.25 )</w:t>
            </w:r>
          </w:p>
        </w:tc>
        <w:tc>
          <w:tcPr>
            <w:tcW w:w="5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(7.47 )</w:t>
            </w:r>
          </w:p>
        </w:tc>
      </w:tr>
      <w:tr>
        <w:trPr>
          <w:trHeight w:val="23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basic earnings (loss) per share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3.48</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(3.93 )</w:t>
            </w:r>
          </w:p>
        </w:tc>
      </w:tr>
      <w:tr>
        <w:trPr>
          <w:trHeight w:val="20"/>
        </w:trPr>
        <w:tc>
          <w:tcPr>
            <w:tcW w:w="5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8"/>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r>
      <w:tr>
        <w:trPr>
          <w:trHeight w:val="243"/>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(0.24 )</w:t>
            </w:r>
          </w:p>
        </w:tc>
        <w:tc>
          <w:tcPr>
            <w:tcW w:w="5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3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diluted earnings (loss) per share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3.37</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(3.79 )</w:t>
            </w:r>
          </w:p>
        </w:tc>
      </w:tr>
      <w:tr>
        <w:trPr>
          <w:trHeight w:val="20"/>
        </w:trPr>
        <w:tc>
          <w:tcPr>
            <w:tcW w:w="5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where applicable:</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deferred pension, net of $2 million, $(3) million and $6 million of deferred</w:t>
            </w:r>
          </w:p>
        </w:tc>
        <w:tc>
          <w:tcPr>
            <w:tcW w:w="920" w:type="dxa"/>
            <w:vAlign w:val="bottom"/>
          </w:tcPr>
          <w:p>
            <w:pPr>
              <w:spacing w:after="0"/>
              <w:rPr>
                <w:sz w:val="18"/>
                <w:szCs w:val="18"/>
                <w:color w:val="auto"/>
              </w:rPr>
            </w:pP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(45 )</w:t>
            </w:r>
          </w:p>
        </w:tc>
        <w:tc>
          <w:tcPr>
            <w:tcW w:w="1020" w:type="dxa"/>
            <w:vAlign w:val="bottom"/>
          </w:tcPr>
          <w:p>
            <w:pPr>
              <w:spacing w:after="0"/>
              <w:rPr>
                <w:sz w:val="18"/>
                <w:szCs w:val="18"/>
                <w:color w:val="auto"/>
              </w:rPr>
            </w:pP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(59 )</w:t>
            </w:r>
          </w:p>
        </w:tc>
        <w:tc>
          <w:tcPr>
            <w:tcW w:w="400" w:type="dxa"/>
            <w:vAlign w:val="bottom"/>
          </w:tcPr>
          <w:p>
            <w:pPr>
              <w:spacing w:after="0"/>
              <w:rPr>
                <w:sz w:val="18"/>
                <w:szCs w:val="18"/>
                <w:color w:val="auto"/>
              </w:rPr>
            </w:pPr>
          </w:p>
        </w:tc>
        <w:tc>
          <w:tcPr>
            <w:tcW w:w="11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in 2023, 2022 and 2021, respectively</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 net of tax, where applicable</w:t>
            </w: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(37 )</w:t>
            </w:r>
          </w:p>
        </w:tc>
        <w:tc>
          <w:tcPr>
            <w:tcW w:w="10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(71 )</w:t>
            </w:r>
          </w:p>
        </w:tc>
        <w:tc>
          <w:tcPr>
            <w:tcW w:w="4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(In millions, except shares and par value)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3,886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25"/>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long-term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obligations, net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2,785</w:t>
            </w:r>
          </w:p>
        </w:tc>
        <w:tc>
          <w:tcPr>
            <w:tcW w:w="1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Contingencies (Note 15)</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authorized 80,000,000 shares of $0.01 par value; issued shares —</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66,700,292 at December 30, 2023 and 65,636,015 at December 31, 2022;</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shares — 36,959,377 at December 30, 2023 and 42,213,046 at December 31, 2022</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 29,740,915 shares at December 30, 2023 and 23,422,969 shares at</w:t>
            </w:r>
          </w:p>
        </w:tc>
        <w:tc>
          <w:tcPr>
            <w:tcW w:w="24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(928 )</w:t>
            </w:r>
          </w:p>
        </w:tc>
        <w:tc>
          <w:tcPr>
            <w:tcW w:w="0" w:type="dxa"/>
            <w:vAlign w:val="bottom"/>
          </w:tcPr>
          <w:p>
            <w:pPr>
              <w:spacing w:after="0"/>
              <w:rPr>
                <w:sz w:val="1"/>
                <w:szCs w:val="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3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3,886</w:t>
            </w:r>
          </w:p>
        </w:tc>
        <w:tc>
          <w:tcPr>
            <w:tcW w:w="4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-3732530</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-3715385</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6"/>
          <w:szCs w:val="16"/>
          <w:i w:val="1"/>
          <w:i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139</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0" w:type="dxa"/>
            <w:vAlign w:val="bottom"/>
          </w:tcPr>
          <w:p>
            <w:pPr>
              <w:spacing w:after="0"/>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6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7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Charges for losses on receivables and inventories</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Asset impairments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5"/>
        </w:trPr>
        <w:tc>
          <w:tcPr>
            <w:tcW w:w="7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disposition of assets, net</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Compensation expense for share-based payments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5"/>
        </w:trPr>
        <w:tc>
          <w:tcPr>
            <w:tcW w:w="7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income taxes and deferred tax asset valuation allowances</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Decrease (increase) in receivables</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Decrease in inventories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39"/>
        </w:trPr>
        <w:tc>
          <w:tcPr>
            <w:tcW w:w="7040" w:type="dxa"/>
            <w:vAlign w:val="bottom"/>
          </w:tcPr>
          <w:p>
            <w:pPr>
              <w:ind w:left="560"/>
              <w:spacing w:after="0" w:line="139" w:lineRule="exact"/>
              <w:rPr>
                <w:sz w:val="20"/>
                <w:szCs w:val="20"/>
                <w:color w:val="auto"/>
              </w:rPr>
            </w:pPr>
            <w:r>
              <w:rPr>
                <w:rFonts w:ascii="Times New Roman" w:cs="Times New Roman" w:eastAsia="Times New Roman" w:hAnsi="Times New Roman"/>
                <w:sz w:val="14"/>
                <w:szCs w:val="14"/>
                <w:color w:val="auto"/>
              </w:rPr>
              <w:t>Net decrease in prepaid expenses, operating lease right-of-use assets, and</w:t>
            </w:r>
          </w:p>
        </w:tc>
        <w:tc>
          <w:tcPr>
            <w:tcW w:w="86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85"/>
        </w:trPr>
        <w:tc>
          <w:tcPr>
            <w:tcW w:w="70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040" w:type="dxa"/>
            <w:vAlign w:val="bottom"/>
            <w:shd w:val="clear" w:color="auto" w:fill="CFF0FC"/>
          </w:tcPr>
          <w:p>
            <w:pPr>
              <w:ind w:left="560"/>
              <w:spacing w:after="0" w:line="139" w:lineRule="exact"/>
              <w:rPr>
                <w:sz w:val="20"/>
                <w:szCs w:val="20"/>
                <w:color w:val="auto"/>
              </w:rPr>
            </w:pPr>
            <w:r>
              <w:rPr>
                <w:rFonts w:ascii="Times New Roman" w:cs="Times New Roman" w:eastAsia="Times New Roman" w:hAnsi="Times New Roman"/>
                <w:sz w:val="14"/>
                <w:szCs w:val="14"/>
                <w:color w:val="auto"/>
              </w:rPr>
              <w:t>Net increase in trade accounts payable, accrued expenses, operating lease</w:t>
            </w:r>
          </w:p>
        </w:tc>
        <w:tc>
          <w:tcPr>
            <w:tcW w:w="86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(474 )</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0" w:type="dxa"/>
            <w:vAlign w:val="bottom"/>
          </w:tcPr>
          <w:p>
            <w:pPr>
              <w:spacing w:after="0"/>
              <w:rPr>
                <w:sz w:val="1"/>
                <w:szCs w:val="1"/>
                <w:color w:val="auto"/>
              </w:rPr>
            </w:pPr>
          </w:p>
        </w:tc>
      </w:tr>
      <w:tr>
        <w:trPr>
          <w:trHeight w:val="185"/>
        </w:trPr>
        <w:tc>
          <w:tcPr>
            <w:tcW w:w="70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liabilities, and other current and other long-term liabilities</w:t>
            </w:r>
          </w:p>
        </w:tc>
        <w:tc>
          <w:tcPr>
            <w:tcW w:w="86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69"/>
        </w:trPr>
        <w:tc>
          <w:tcPr>
            <w:tcW w:w="7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adjustments</w:t>
            </w: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69"/>
        </w:trPr>
        <w:tc>
          <w:tcPr>
            <w:tcW w:w="7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8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Net cash provided by operating activities of discontinued operations</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9"/>
        </w:trPr>
        <w:tc>
          <w:tcPr>
            <w:tcW w:w="70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6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Businesses acquired, net of cash acquired</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Settlement of company-owned life insurance policies</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9"/>
        </w:trPr>
        <w:tc>
          <w:tcPr>
            <w:tcW w:w="7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investing activities of continuing operations</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investing activities of discontinued operations</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69"/>
        </w:trPr>
        <w:tc>
          <w:tcPr>
            <w:tcW w:w="7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0" w:type="dxa"/>
            <w:vAlign w:val="bottom"/>
          </w:tcPr>
          <w:p>
            <w:pPr>
              <w:spacing w:after="0"/>
              <w:rPr>
                <w:sz w:val="1"/>
                <w:szCs w:val="1"/>
                <w:color w:val="auto"/>
              </w:rPr>
            </w:pPr>
          </w:p>
        </w:tc>
      </w:tr>
      <w:tr>
        <w:trPr>
          <w:trHeight w:val="16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payments on long and short-term borrowings</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Debt retirement</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 purchases for taxes, net of proceeds from employee share-based transactions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39"/>
        </w:trPr>
        <w:tc>
          <w:tcPr>
            <w:tcW w:w="70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 of common stock for treasury and advance payment for accelerated</w:t>
            </w:r>
          </w:p>
        </w:tc>
        <w:tc>
          <w:tcPr>
            <w:tcW w:w="8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0" w:type="dxa"/>
            <w:vAlign w:val="bottom"/>
          </w:tcPr>
          <w:p>
            <w:pPr>
              <w:spacing w:after="0"/>
              <w:rPr>
                <w:sz w:val="1"/>
                <w:szCs w:val="1"/>
                <w:color w:val="auto"/>
              </w:rPr>
            </w:pPr>
          </w:p>
        </w:tc>
      </w:tr>
      <w:tr>
        <w:trPr>
          <w:trHeight w:val="185"/>
        </w:trPr>
        <w:tc>
          <w:tcPr>
            <w:tcW w:w="7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share repurchase</w:t>
            </w:r>
          </w:p>
        </w:tc>
        <w:tc>
          <w:tcPr>
            <w:tcW w:w="8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9"/>
        </w:trPr>
        <w:tc>
          <w:tcPr>
            <w:tcW w:w="7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financing activities of continuing operations</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Net cash used in financing activities of discontinued operations</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0" w:type="dxa"/>
            <w:vAlign w:val="bottom"/>
          </w:tcPr>
          <w:p>
            <w:pPr>
              <w:spacing w:after="0"/>
              <w:rPr>
                <w:sz w:val="1"/>
                <w:szCs w:val="1"/>
                <w:color w:val="auto"/>
              </w:rPr>
            </w:pPr>
          </w:p>
        </w:tc>
      </w:tr>
      <w:tr>
        <w:trPr>
          <w:trHeight w:val="169"/>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404</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395</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75"/>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cash and cash equivalents of discontinued operations</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 — continuing operations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395</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information on operating, investing, and financing activities</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375</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Promissory note receivable obtained from disposition of discontinued operations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taxes paid, net</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Earn-out receivable obtained from disposition of discontinued operations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5"/>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interest paid, net of amounts capitalized and non-recourse debt</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and noncurrent receivables obtained from disposition of discontinued operations</w:t>
            </w:r>
          </w:p>
        </w:tc>
        <w:tc>
          <w:tcPr>
            <w:tcW w:w="86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70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Transfer from additional paid-in capital to treasury stock for final settlement of the accelerated share repurchase</w:t>
            </w:r>
          </w:p>
        </w:tc>
        <w:tc>
          <w:tcPr>
            <w:tcW w:w="86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agreement</w:t>
            </w:r>
          </w:p>
        </w:tc>
        <w:tc>
          <w:tcPr>
            <w:tcW w:w="86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Business acquired in exchange for common stock issuance</w:t>
            </w:r>
          </w:p>
        </w:tc>
        <w:tc>
          <w:tcPr>
            <w:tcW w:w="860" w:type="dxa"/>
            <w:vAlign w:val="bottom"/>
          </w:tcPr>
          <w:p>
            <w:pPr>
              <w:spacing w:after="0"/>
              <w:rPr>
                <w:sz w:val="16"/>
                <w:szCs w:val="16"/>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-6436360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-6436360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-4441825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-4441825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-4210050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-4210050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-3525520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-3525520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-3294380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-3294380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-2292350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-2292350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-2061210</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-2061210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-1821180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-1821180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-1590040</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-1590040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-1358900</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-1358900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and per share amounts)</w:t>
      </w:r>
    </w:p>
    <w:p>
      <w:pPr>
        <w:spacing w:after="0" w:line="187" w:lineRule="exact"/>
        <w:rPr>
          <w:sz w:val="20"/>
          <w:szCs w:val="20"/>
          <w:color w:val="auto"/>
        </w:rPr>
      </w:pPr>
    </w:p>
    <w:tbl>
      <w:tblPr>
        <w:tblLayout w:type="fixed"/>
        <w:tblInd w:w="43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1060" w:type="dxa"/>
            <w:vAlign w:val="bottom"/>
            <w:vMerge w:val="continue"/>
          </w:tcPr>
          <w:p>
            <w:pPr>
              <w:spacing w:after="0"/>
              <w:rPr>
                <w:sz w:val="12"/>
                <w:szCs w:val="12"/>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2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ive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68"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26, 2020</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36" w:lineRule="exact"/>
        <w:rPr>
          <w:sz w:val="20"/>
          <w:szCs w:val="20"/>
          <w:color w:val="auto"/>
        </w:rPr>
      </w:pPr>
    </w:p>
    <w:p>
      <w:pPr>
        <w:ind w:left="160" w:right="600" w:hanging="134"/>
        <w:spacing w:after="0" w:line="260" w:lineRule="auto"/>
        <w:rPr>
          <w:sz w:val="20"/>
          <w:szCs w:val="20"/>
          <w:color w:val="auto"/>
        </w:rPr>
      </w:pPr>
      <w:r>
        <w:rPr>
          <w:rFonts w:ascii="Times New Roman" w:cs="Times New Roman" w:eastAsia="Times New Roman" w:hAnsi="Times New Roman"/>
          <w:sz w:val="18"/>
          <w:szCs w:val="18"/>
          <w:color w:val="auto"/>
        </w:rPr>
        <w:t>Exercise and release of incentive stock (including income tax benefits and withholding)</w:t>
      </w:r>
    </w:p>
    <w:p>
      <w:pPr>
        <w:spacing w:after="0" w:line="2" w:lineRule="exact"/>
        <w:rPr>
          <w:sz w:val="20"/>
          <w:szCs w:val="20"/>
          <w:color w:val="auto"/>
        </w:rPr>
      </w:pPr>
    </w:p>
    <w:p>
      <w:pPr>
        <w:ind w:left="160" w:right="360" w:hanging="134"/>
        <w:spacing w:after="0" w:line="265" w:lineRule="auto"/>
        <w:rPr>
          <w:sz w:val="20"/>
          <w:szCs w:val="20"/>
          <w:color w:val="auto"/>
        </w:rPr>
      </w:pPr>
      <w:r>
        <w:rPr>
          <w:rFonts w:ascii="Times New Roman" w:cs="Times New Roman" w:eastAsia="Times New Roman" w:hAnsi="Times New Roman"/>
          <w:sz w:val="18"/>
          <w:szCs w:val="18"/>
          <w:color w:val="auto"/>
        </w:rPr>
        <w:t>Amortization of long-term incentive stock grants</w:t>
      </w:r>
    </w:p>
    <w:p>
      <w:pPr>
        <w:spacing w:after="0" w:line="1" w:lineRule="exact"/>
        <w:rPr>
          <w:sz w:val="20"/>
          <w:szCs w:val="20"/>
          <w:color w:val="auto"/>
        </w:rPr>
      </w:pPr>
    </w:p>
    <w:p>
      <w:pPr>
        <w:jc w:val="right"/>
        <w:ind w:left="20" w:right="300"/>
        <w:spacing w:after="0" w:line="265" w:lineRule="auto"/>
        <w:rPr>
          <w:sz w:val="20"/>
          <w:szCs w:val="20"/>
          <w:color w:val="auto"/>
        </w:rPr>
      </w:pPr>
      <w:r>
        <w:rPr>
          <w:rFonts w:ascii="Times New Roman" w:cs="Times New Roman" w:eastAsia="Times New Roman" w:hAnsi="Times New Roman"/>
          <w:sz w:val="18"/>
          <w:szCs w:val="18"/>
          <w:color w:val="auto"/>
        </w:rPr>
        <w:t>Repurchase of common stock and advance payment for accelerated share repurchase</w:t>
      </w:r>
    </w:p>
    <w:p>
      <w:pPr>
        <w:spacing w:after="0" w:line="1" w:lineRule="exact"/>
        <w:rPr>
          <w:sz w:val="20"/>
          <w:szCs w:val="20"/>
          <w:color w:val="auto"/>
        </w:rPr>
      </w:pPr>
    </w:p>
    <w:p>
      <w:pPr>
        <w:ind w:left="160" w:right="660" w:hanging="134"/>
        <w:spacing w:after="0" w:line="263" w:lineRule="auto"/>
        <w:rPr>
          <w:sz w:val="20"/>
          <w:szCs w:val="20"/>
          <w:color w:val="auto"/>
        </w:rPr>
      </w:pPr>
      <w:r>
        <w:rPr>
          <w:rFonts w:ascii="Times New Roman" w:cs="Times New Roman" w:eastAsia="Times New Roman" w:hAnsi="Times New Roman"/>
          <w:sz w:val="18"/>
          <w:szCs w:val="18"/>
          <w:color w:val="auto"/>
        </w:rPr>
        <w:t>Common stock issuance related to the BuyerQuest acquisition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25, 2021</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36" w:lineRule="exact"/>
        <w:rPr>
          <w:sz w:val="20"/>
          <w:szCs w:val="20"/>
          <w:color w:val="auto"/>
        </w:rPr>
      </w:pPr>
    </w:p>
    <w:p>
      <w:pPr>
        <w:ind w:left="160" w:right="600" w:hanging="134"/>
        <w:spacing w:after="0" w:line="260" w:lineRule="auto"/>
        <w:rPr>
          <w:sz w:val="20"/>
          <w:szCs w:val="20"/>
          <w:color w:val="auto"/>
        </w:rPr>
      </w:pPr>
      <w:r>
        <w:rPr>
          <w:rFonts w:ascii="Times New Roman" w:cs="Times New Roman" w:eastAsia="Times New Roman" w:hAnsi="Times New Roman"/>
          <w:sz w:val="18"/>
          <w:szCs w:val="18"/>
          <w:color w:val="auto"/>
        </w:rPr>
        <w:t>Exercise and release of incentive stock (including income tax benefits and withholding)</w:t>
      </w:r>
    </w:p>
    <w:p>
      <w:pPr>
        <w:spacing w:after="0" w:line="2" w:lineRule="exact"/>
        <w:rPr>
          <w:sz w:val="20"/>
          <w:szCs w:val="20"/>
          <w:color w:val="auto"/>
        </w:rPr>
      </w:pPr>
    </w:p>
    <w:p>
      <w:pPr>
        <w:ind w:left="160" w:right="360" w:hanging="134"/>
        <w:spacing w:after="0" w:line="265" w:lineRule="auto"/>
        <w:rPr>
          <w:sz w:val="20"/>
          <w:szCs w:val="20"/>
          <w:color w:val="auto"/>
        </w:rPr>
      </w:pPr>
      <w:r>
        <w:rPr>
          <w:rFonts w:ascii="Times New Roman" w:cs="Times New Roman" w:eastAsia="Times New Roman" w:hAnsi="Times New Roman"/>
          <w:sz w:val="18"/>
          <w:szCs w:val="18"/>
          <w:color w:val="auto"/>
        </w:rPr>
        <w:t>Amortization of long-term incentive stock grants</w:t>
      </w:r>
    </w:p>
    <w:p>
      <w:pPr>
        <w:spacing w:after="0" w:line="1" w:lineRule="exact"/>
        <w:rPr>
          <w:sz w:val="20"/>
          <w:szCs w:val="20"/>
          <w:color w:val="auto"/>
        </w:rPr>
      </w:pPr>
    </w:p>
    <w:p>
      <w:pPr>
        <w:ind w:left="160" w:right="940" w:hanging="134"/>
        <w:spacing w:after="0" w:line="281" w:lineRule="auto"/>
        <w:rPr>
          <w:sz w:val="20"/>
          <w:szCs w:val="20"/>
          <w:color w:val="auto"/>
        </w:rPr>
      </w:pPr>
      <w:r>
        <w:rPr>
          <w:rFonts w:ascii="Times New Roman" w:cs="Times New Roman" w:eastAsia="Times New Roman" w:hAnsi="Times New Roman"/>
          <w:sz w:val="17"/>
          <w:szCs w:val="17"/>
          <w:color w:val="auto"/>
        </w:rPr>
        <w:t>Final settlement of the accelerated share repurchase agreement</w:t>
      </w:r>
    </w:p>
    <w:p>
      <w:pPr>
        <w:spacing w:after="0" w:line="1" w:lineRule="exact"/>
        <w:rPr>
          <w:sz w:val="20"/>
          <w:szCs w:val="20"/>
          <w:color w:val="auto"/>
        </w:rPr>
      </w:pPr>
    </w:p>
    <w:p>
      <w:pPr>
        <w:ind w:left="20" w:right="1260"/>
        <w:spacing w:after="0" w:line="286" w:lineRule="auto"/>
        <w:rPr>
          <w:sz w:val="20"/>
          <w:szCs w:val="20"/>
          <w:color w:val="auto"/>
        </w:rPr>
      </w:pPr>
      <w:r>
        <w:rPr>
          <w:rFonts w:ascii="Times New Roman" w:cs="Times New Roman" w:eastAsia="Times New Roman" w:hAnsi="Times New Roman"/>
          <w:sz w:val="18"/>
          <w:szCs w:val="18"/>
          <w:color w:val="auto"/>
        </w:rPr>
        <w:t>Repurchase of common stock Other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36" w:lineRule="exact"/>
        <w:rPr>
          <w:sz w:val="20"/>
          <w:szCs w:val="20"/>
          <w:color w:val="auto"/>
        </w:rPr>
      </w:pPr>
    </w:p>
    <w:p>
      <w:pPr>
        <w:ind w:left="160" w:right="600" w:hanging="134"/>
        <w:spacing w:after="0" w:line="260" w:lineRule="auto"/>
        <w:rPr>
          <w:sz w:val="20"/>
          <w:szCs w:val="20"/>
          <w:color w:val="auto"/>
        </w:rPr>
      </w:pPr>
      <w:r>
        <w:rPr>
          <w:rFonts w:ascii="Times New Roman" w:cs="Times New Roman" w:eastAsia="Times New Roman" w:hAnsi="Times New Roman"/>
          <w:sz w:val="18"/>
          <w:szCs w:val="18"/>
          <w:color w:val="auto"/>
        </w:rPr>
        <w:t>Exercise and release of incentive stock (including income tax benefits and withholding)</w:t>
      </w:r>
    </w:p>
    <w:p>
      <w:pPr>
        <w:spacing w:after="0" w:line="2" w:lineRule="exact"/>
        <w:rPr>
          <w:sz w:val="20"/>
          <w:szCs w:val="20"/>
          <w:color w:val="auto"/>
        </w:rPr>
      </w:pPr>
    </w:p>
    <w:p>
      <w:pPr>
        <w:ind w:left="160" w:right="360" w:hanging="134"/>
        <w:spacing w:after="0" w:line="265" w:lineRule="auto"/>
        <w:rPr>
          <w:sz w:val="20"/>
          <w:szCs w:val="20"/>
          <w:color w:val="auto"/>
        </w:rPr>
      </w:pPr>
      <w:r>
        <w:rPr>
          <w:rFonts w:ascii="Times New Roman" w:cs="Times New Roman" w:eastAsia="Times New Roman" w:hAnsi="Times New Roman"/>
          <w:sz w:val="18"/>
          <w:szCs w:val="18"/>
          <w:color w:val="auto"/>
        </w:rPr>
        <w:t>Amortization of long-term incentive stock grants</w:t>
      </w:r>
    </w:p>
    <w:p>
      <w:pPr>
        <w:spacing w:after="0" w:line="1" w:lineRule="exact"/>
        <w:rPr>
          <w:sz w:val="20"/>
          <w:szCs w:val="20"/>
          <w:color w:val="auto"/>
        </w:rPr>
      </w:pPr>
    </w:p>
    <w:p>
      <w:pPr>
        <w:ind w:left="20" w:right="1100"/>
        <w:spacing w:after="0" w:line="345" w:lineRule="auto"/>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17"/>
          <w:szCs w:val="17"/>
          <w:b w:val="1"/>
          <w:bCs w:val="1"/>
          <w:color w:val="auto"/>
        </w:rPr>
        <w:t>Balance at December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Borders>
              <w:top w:val="single" w:sz="8" w:color="auto"/>
            </w:tcBorders>
          </w:tcPr>
          <w:p>
            <w:pPr>
              <w:jc w:val="right"/>
              <w:ind w:right="50"/>
              <w:spacing w:after="0" w:line="204" w:lineRule="exact"/>
              <w:rPr>
                <w:sz w:val="20"/>
                <w:szCs w:val="20"/>
                <w:color w:val="auto"/>
              </w:rPr>
            </w:pPr>
            <w:r>
              <w:rPr>
                <w:rFonts w:ascii="Times New Roman" w:cs="Times New Roman" w:eastAsia="Times New Roman" w:hAnsi="Times New Roman"/>
                <w:sz w:val="18"/>
                <w:szCs w:val="18"/>
                <w:color w:val="auto"/>
              </w:rPr>
              <w:t>62,551,2</w:t>
            </w:r>
          </w:p>
        </w:tc>
        <w:tc>
          <w:tcPr>
            <w:tcW w:w="4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3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r>
      <w:tr>
        <w:trPr>
          <w:trHeight w:val="2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4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1,326,22</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458"/>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458"/>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36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r>
      <w:tr>
        <w:trPr>
          <w:trHeight w:val="452"/>
        </w:trPr>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827,498</w:t>
            </w: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11"/>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64,704,9</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2,692</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3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r>
      <w:tr>
        <w:trPr>
          <w:trHeight w:val="2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67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931,036</w:t>
            </w:r>
          </w:p>
        </w:tc>
        <w:tc>
          <w:tcPr>
            <w:tcW w:w="4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36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458"/>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458"/>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r>
      <w:tr>
        <w:trPr>
          <w:trHeight w:val="250"/>
        </w:trPr>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65,636,0</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2,742</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(928 )</w:t>
            </w:r>
          </w:p>
        </w:tc>
        <w:tc>
          <w:tcPr>
            <w:tcW w:w="3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w:t>
            </w:r>
          </w:p>
        </w:tc>
      </w:tr>
      <w:tr>
        <w:trPr>
          <w:trHeight w:val="2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4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1,064,27</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458"/>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r>
      <w:tr>
        <w:trPr>
          <w:trHeight w:val="250"/>
        </w:trPr>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11"/>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66,700,2</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1"/>
        </w:trPr>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2,752</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(1,226 )</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-5624830</wp:posOffset>
            </wp:positionV>
            <wp:extent cx="7132320" cy="290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-5179695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-4597400</wp:posOffset>
            </wp:positionV>
            <wp:extent cx="7132320" cy="290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-4015105</wp:posOffset>
            </wp:positionV>
            <wp:extent cx="7132320" cy="290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-3432810</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-3124835</wp:posOffset>
            </wp:positionV>
            <wp:extent cx="7132320" cy="4279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-2405380</wp:posOffset>
            </wp:positionV>
            <wp:extent cx="7132320" cy="290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-1960245</wp:posOffset>
            </wp:positionV>
            <wp:extent cx="713232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-1506220</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-1198245</wp:posOffset>
            </wp:positionV>
            <wp:extent cx="7132320" cy="4279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-478790</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420" w:space="720"/>
            <w:col w:w="7100"/>
          </w:cols>
          <w:pgMar w:left="320" w:top="7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accompanying notes to Consolidated Financial Statements are an integral part of these statements.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The ODP Corporation (including its consolidated subsidiaries, “ODP” or the “Company”) is a leading provider of products,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technology solutions through an integrated business-to-business (“B2B”) distribution platform and omni-channel presence, which includes supply chain and distribution operations, dedicated sales professionals, a B2B digital procurement solution, online presence, and a network of Office Depot and OfficeMax retail stores. Through its operating companies ODP Business Solutions, LLC; Office Depot, LLC; Veyer, LLC; and Varis, Inc., The ODP Corporation empowers every business, professional, and consumer to achieve more every day.</w:t>
      </w:r>
    </w:p>
    <w:p>
      <w:pPr>
        <w:spacing w:after="0" w:line="12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Consolidated Financial Statements of ODP include the accounts of all wholly owned and financially controlled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disposition. The Company owns 88% of a subsidiary that formerly owned assets in Cuba, which were confiscated by the Cuban government in the 1960’s. Due to various asset restrictions, the fair value of this investment is not determinable, and no amounts are included in the Consolidated Financial Statements. Intercompany transactions have been eliminated in consolidation.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four reportable segments (or “Divisions”): ODP Business Solutions Division, Office Depot Division, Veyer Division, and Varis Division.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for additional information.</w:t>
      </w:r>
    </w:p>
    <w:p>
      <w:pPr>
        <w:spacing w:after="0" w:line="152"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The Company’s CompuCom Division was sold through a single disposal group on December 31, 2021. Accordingly, that business is presented as discontinued operations. Refer to Note 16 for additional information.</w:t>
      </w:r>
    </w:p>
    <w:p>
      <w:pPr>
        <w:spacing w:after="0" w:line="1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a result of the CompuCom Division’s presentation as discontinued operations, the Company’s level of service revenue is below 10% of the Company’s total revenue for all periods presented, and accordingly, revenues and cost of sales from services and products are not separately disclosed in the Company’s Consolidated Statements of Operations. Prior period amounts have been reclassified to conform to the current period presentation.</w:t>
      </w:r>
    </w:p>
    <w:p>
      <w:pPr>
        <w:spacing w:after="0" w:line="11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Fiscal years are based on a 52- or 53-week period ending on the last Saturday in December. Fiscal year 2023 had 52 weeks and ended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30, 2023. Fiscal year 2022 had 53 weeks and ended on December 31, 2022. Fiscal year 2021 had 52 weeks and ended on December 25, 2021. Certain subsidiaries operate on a calendar year basis; however, the reporting difference did not have a material impact in any period presented.</w:t>
      </w:r>
    </w:p>
    <w:p>
      <w:pPr>
        <w:spacing w:after="0" w:line="1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Estimates and Assumptions: </w:t>
      </w:r>
      <w:r>
        <w:rPr>
          <w:rFonts w:ascii="Times New Roman" w:cs="Times New Roman" w:eastAsia="Times New Roman" w:hAnsi="Times New Roman"/>
          <w:sz w:val="17"/>
          <w:szCs w:val="17"/>
          <w:color w:val="auto"/>
        </w:rPr>
        <w:t>The preparation of financial statements in conformity with accounting principles generally accepted in the United States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are based upon historical factors, current circumstances and the experience and judgment of the Company’s management.</w:t>
      </w:r>
    </w:p>
    <w:p>
      <w:pPr>
        <w:spacing w:after="0" w:line="10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The Company applies the acquisition method of accounting for acquisitions where the Company is considered the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acquirer in accordance with ASC Topic 805, “Business Combinations” (“ASC 805”). The results of operations of acquired businesses are included in the Company’s consolidated results prospectively from the date of acquisition. The Company allocates the fair value of purchase consideration to the tangible and intangible assets acquired, liabilities assumed, and non-controlling interests in the acquired entity generally based on their fair values at the acquisition date. Various valuation methodologies are used to estimate the fair value of assets acquired and liabilities assumed, including using a market participant perspective when applying cost, income and relief from royalty analyses, supplemented with market appraisals where appropriate. Significant judgments and estimates are required in preparing these fair value estimates. The excess of the fair value of purchase consideration over the fair value of the assets acquired, liabilities assumed and non-controlling interests in the acquired entity is recorded as goodwill. The primary items that generate goodwill include the value of the synergies between the acquired company and the Company and the value of the acquired assembled workforce, neither of which qualifies for recognition as an intangible asset. Acquisition-related expenses and post-acquisition restructuring costs are recognized separately from the business combinations and are expensed as incurred. Refer to Note 2 for additional information.</w:t>
      </w:r>
    </w:p>
    <w:p>
      <w:pPr>
        <w:spacing w:after="0" w:line="13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International operations in Canada and China use local currencies as their functional currency. Assets and liabilities are translated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using the exchange rate at the balance sheet date. Revenues, expenses and cash flows are translated at average monthly exchange rates, or rates on the date of the transaction for certain significant items. Translation adjustments resulting from this process are recorded in Stockholders’ equity as a component of Accumulated other comprehensive loss. Foreign currency transaction gains or losses are recorded in the Consolidated Statements of Operations in Other income (expense), net or Cost of goods sold and occupancy costs, depending on the nature of the transaction.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All short-term highly liquid investments with original maturities of three months or less from the date of acquisition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cash equivalents. Amounts in transit from banks for customer credit card and debit card transactions are classified as cash. The banks process the majority of these amounts within two business days.</w:t>
      </w:r>
    </w:p>
    <w:p>
      <w:pPr>
        <w:spacing w:after="0" w:line="120"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Amounts not yet presented for payment to zero balance disbursement accounts of $13 million and $16 million at December 30, 2023 and December 31, 2022, respectively, are presented in Trade accounts payable and Accrued expenses and other current liabilities.</w:t>
      </w:r>
    </w:p>
    <w:p>
      <w:pPr>
        <w:spacing w:after="0" w:line="10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At December 30, 2023 and December 31, 2022, cash and cash equivalents held outside the United States amounted to $106 million and $113 million, respectively.</w:t>
      </w:r>
    </w:p>
    <w:p>
      <w:pPr>
        <w:spacing w:after="0" w:line="109"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Restricted cash consists primarily of cash in bank committed to fund UK pension obligations based on the agreements that govern the UK pension plan. Restricted cash is valued at cost, which approximates fair value. Restricted cash was $3 million and $1 million at December 30, 2023 and December 31, 2022, respectively.</w:t>
      </w:r>
    </w:p>
    <w:p>
      <w:pPr>
        <w:spacing w:after="0" w:line="11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Receivables: </w:t>
      </w:r>
      <w:r>
        <w:rPr>
          <w:rFonts w:ascii="Times New Roman" w:cs="Times New Roman" w:eastAsia="Times New Roman" w:hAnsi="Times New Roman"/>
          <w:sz w:val="18"/>
          <w:szCs w:val="18"/>
          <w:color w:val="auto"/>
        </w:rPr>
        <w:t>Trade receivables totaled $369 million and $412 million at December 30, 2023 and December 31, 2022, respectively, net of an allowance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doubtful accounts of $12 million and $8 million, respectively, to reduce receivables to an amount expected to be collectible from customers.</w:t>
      </w:r>
    </w:p>
    <w:p>
      <w:pPr>
        <w:spacing w:after="0" w:line="1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Exposure to credit risk associated with trade receivables is limited by having a large customer base that extends across many different industries and geographic regions. However, receivables may be adversely affected by an economic slowdown in the United States or internationally. No single customer accounted for more than 10% of total sales or receivables in 2023, 2022 or 2021. Other receivables were $119 million and $123 million at December 30, 2023 and December 31, 2022, respectively, of which $77 million and $82 million, respectively, are amounts due from vendors under purchase rebate, cooperative advertising and various other marketing programs.</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and are reduced for inventory losses based on estimated obsolescence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physical counts. The weighted average method is used throughout the Company to determine the cost of inventory. In-bound freight is included as a cost of inventories; cash discounts and certain vendor allowances that are related to inventory purchases are recorded as a product cost reduction.</w:t>
      </w:r>
    </w:p>
    <w:p>
      <w:pPr>
        <w:spacing w:after="0" w:line="11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Income taxes are accounted for under the asset and liability method. This approach requires the recognition of deferred tax assets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liabilities attributable to differences between the carrying amounts and the tax bases of assets and liabilities and operating loss and tax credit carryforwards. Valuation allowances are recorded to reduce deferred tax assets to the amount believed to be more likely than not to be realized. The Company recognizes tax benefits from uncertain tax positions when it is more likely than not that the position will be sustained upon examination. Interest related to income tax exposures is included in interest expense in the Consolidated Statements of Operations. Refer to Note 5 for additional information on income taxes.</w:t>
      </w:r>
    </w:p>
    <w:p>
      <w:pPr>
        <w:spacing w:after="0" w:line="11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additions are recorded at cost. Depreciation and amortization is recognized over the estimated useful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lives using the straight-line method. The useful lives of depreciable assets are estimated to be 15-30 years for buildings and three to ten years for furniture, fixtures and equipment. Computer software is amortized over three years for common office applications, five years for larger business applications and seven years for certain enterprise-wide systems. Leasehold improvements are amortized over the shorter of the estimated economic lives of the improvements or the terms of the underlying leases, including renewal options considered reasonably assured. The Company capitalizes certain costs related to internal use software that is expected to benefit future periods. These costs are amortized using the straight-line method over the three to seven year expected life of the software. Major repairs that extend the useful lives of assets are capitalized and amortized over the estimated use period. Routine maintenance costs are expensed as incurred. Refer to Note 7 for additional information on property and equipment.</w:t>
      </w:r>
    </w:p>
    <w:p>
      <w:pPr>
        <w:spacing w:after="0" w:line="12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the purchase price of an acquired entity over the fair value of the net 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identifiable intangible assets acquired and liabilities assumed in a business combination. The Company reviews the carrying amount of goodwill at the reporting unit level on an annual basis as of the first day of fiscal month December, or more frequently, if events or changes in circumstances suggest that goodwill may not be recoverable. For those reporting units where events or change in circumstances indicate that potential impairment indicators exist, the Company performs a quantitative assessment to determine whether the carrying amount of goodwill can be recovered. A significant amount of judgment is involved in determining if an indicator of impairment has occurred.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When performing the annual goodwill impairment test, the Company may start with an optional qualitative assessment. As part of the qualitative assessment, the Company evaluates all events and circumstances, including both positive and negative events, in their totality, to determine whether it is not more likely than not that the fair value of a reporting unit is less than its carrying amount. If the Company bypasses the qualitative assessment, or if the qualitative assessment indicates that a quantitative analysis should be performed, the Company evaluates goodwill for impairment by comparing the fair value of a reporting unit to its carrying value, including the associated goodwill. The Company estimates the reporting unit’s fair value using discounted cash flow analysis and market-based evaluations, when available. If the carrying amount of the reporting unit exceeds the estimated fair value, an impairment charge is recorded to reduce the carrying value to the estimated fair value. The Company typically uses a combination of different Level 3 valuation approaches that are dependent on several significant estimates and assumptions related to forecasts of future revenues, cost of sales, expenses and the weighted-average cost of capital for each reporting unit. Any adverse change in these factors could have a significant impact on the recoverability of goodwill and could have a material impact on the Company’s Consolidated Financial Statements.</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intangible asset with an indefinite useful life is not amortized but assessed for impairment annually. The Company evaluates its indefinite-lived intangible assets for impairment annually, or sooner if indications of possible impairment are identified. When performing the annual impairment test, the Company may first start with an optional qualitative assessment to determine whether it is not more likely than not that its indefinite-lived intangible assets are impaired. As part of a qualitative assessment, the Company evaluates relevant events and circumstances that could affect the significant inputs used to determine the fair value of the indefinite-lived intangible asset. If the Company bypasses the qualitative assessment, or if the qualitative assessment indicates that a quantitative analysis should be performed, the Company evaluates its indefinite-lived intangible assets for impairment by comparing the fair value of the asset to its carrying amount.</w:t>
      </w:r>
    </w:p>
    <w:p>
      <w:pPr>
        <w:spacing w:after="0" w:line="133"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Intangible assets determined to have finite lives are amortized on a straight-line basis over their estimated useful lives, where the useful life is the period over which the asset is expected to contribute directly, or indirectly, to the Company’s future cash flows. The Company periodically reviews its amortizable intangible assets to determine whether events and circumstances warrant a revision to the remaining period of amortization or asset impairment.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for additional information on goodwill and other intangible assets.</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Long-lived assets with identifiable cash flows are reviewed for possible impairment whenever events 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carrying amount of such assets may not be recoverable. Retail store long-lived assets are regularly reviewed for impairment indicators. Impairment is assessed at the individual store level which is the lowest level of identifiable cash flows and considers the estimated undiscounted cash flows over the asset’s remaining life. If estimated undiscounted cash flows are insufficient to recover the investment, an impairment loss is recognized equal to the difference between the estimated fair value of the asset and its carrying value, net of salvage, and any costs of disposition, and allocated to the asset groups at the store level based on their relative fair values. The fair value estimate is generally the discounted amount of estimated store-specific cash flows.</w:t>
      </w:r>
    </w:p>
    <w:p>
      <w:pPr>
        <w:spacing w:after="0" w:line="12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Facility Closure and Severance Costs: </w:t>
      </w:r>
      <w:r>
        <w:rPr>
          <w:rFonts w:ascii="Times New Roman" w:cs="Times New Roman" w:eastAsia="Times New Roman" w:hAnsi="Times New Roman"/>
          <w:sz w:val="17"/>
          <w:szCs w:val="17"/>
          <w:color w:val="auto"/>
        </w:rPr>
        <w:t>Retail store performance is regularly reviewed against expectations and retail stores not meeting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may be closed. Retail stores are also closed as part of restructuring activities which aim to optimize the Company’s retail footprint. Refer to Note 3 for additional information on the restructuring programs and associated store closures. Costs associated with facility closures, principally accrued variable lease and restoration costs, are recognized when the facility is no longer used in an operating capacity or when a liability has been incurred. Retail store assets, including operating lease right-of-use (“ROU”) assets, are also reviewed for possible impairment, or reduction of estimated useful lives.</w:t>
      </w:r>
    </w:p>
    <w:p>
      <w:pPr>
        <w:spacing w:after="0" w:line="1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charges or credits to adjust remaining closed facility accruals to reflect current expectations. Adjustments to facility closure costs are presented in the Consolidated Statements of Operations in Selling, general and administrative expenses if the related facility was closed as part of ongoing operations or in Merger, restructuring and other operating expenses, net, if the related facility was closed as part of a merger integration plan or restructuring plan. Refer to Note 3 for additional information on accrued expenses relating to closed facilities. The short-term and long-term components of this liability are included in Accrued expenses and other current liabilities and Deferred income taxes and other long-term liabilities, respectively, in the Consolidated Balance Sheets. Employee termination costs covered under written and substantive plans are accrued when probable and estimable and consider continuing service requirements, if any. Additionally, incremental one-time employee benefit costs are recognized when the key terms of the arrangements have been communicated to affected employees. Amounts are recognized when communicated or over the remaining service period, based on the terms of the arrangements.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Accrued Expenses and Other Current Liabilities: </w:t>
      </w:r>
      <w:r>
        <w:rPr>
          <w:rFonts w:ascii="Times New Roman" w:cs="Times New Roman" w:eastAsia="Times New Roman" w:hAnsi="Times New Roman"/>
          <w:sz w:val="18"/>
          <w:szCs w:val="18"/>
          <w:color w:val="auto"/>
        </w:rPr>
        <w:t>The major components of Accrued expenses and other current liabilities in the Consolidated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Sheets are tax liabilities, payroll and benefit accruals, customer rebates accruals, inventory receipts accruals and current portion of operating lease liabilities. Accrued payroll and benefits were $125 million and $158 million at December 30, 2023 and December 31, 2022, respectively.</w:t>
      </w:r>
    </w:p>
    <w:p>
      <w:pPr>
        <w:spacing w:after="0" w:line="1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Vendor Financing Programs: </w:t>
      </w:r>
      <w:r>
        <w:rPr>
          <w:rFonts w:ascii="Times New Roman" w:cs="Times New Roman" w:eastAsia="Times New Roman" w:hAnsi="Times New Roman"/>
          <w:sz w:val="18"/>
          <w:szCs w:val="18"/>
          <w:color w:val="auto"/>
        </w:rPr>
        <w:t>The Company maintains financing agreements with third-party financial institutions through which its vendors, at their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may elect to sell their receivables due from the Company to the third-party financial institutions at terms negotiated amongst them. The Company’s obligations to its vendors, including amounts due and scheduled payment terms, are not impacted. The Company does not pledge any assets or provide any guarantees to any third party in connection with these financing arrangements. The outstanding amounts due to the third-party financial institutions related to vendors participating in these financing arrangements were not significant, and were mainly included within Accounts payable in the Consolidated Balance Sheet as of December 30, 2023.</w:t>
      </w:r>
    </w:p>
    <w:p>
      <w:pPr>
        <w:spacing w:after="0" w:line="12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Company measures fair value as the price that would be received to sell an asset or paid to transfer a liability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orderly transaction between market participants at the measurement date. In developing its fair value estimates, the Company uses the following hierarchy:</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71" w:lineRule="exact"/>
        <w:rPr>
          <w:sz w:val="20"/>
          <w:szCs w:val="20"/>
          <w:color w:val="auto"/>
        </w:rPr>
      </w:pPr>
    </w:p>
    <w:p>
      <w:pPr>
        <w:jc w:val="both"/>
        <w:ind w:left="380" w:right="400"/>
        <w:spacing w:after="0" w:line="265" w:lineRule="auto"/>
        <w:rPr>
          <w:sz w:val="20"/>
          <w:szCs w:val="20"/>
          <w:color w:val="auto"/>
        </w:rPr>
      </w:pPr>
      <w:r>
        <w:rPr>
          <w:rFonts w:ascii="Times New Roman" w:cs="Times New Roman" w:eastAsia="Times New Roman" w:hAnsi="Times New Roman"/>
          <w:sz w:val="18"/>
          <w:szCs w:val="18"/>
          <w:color w:val="auto"/>
        </w:rPr>
        <w:t>Level 3 Significant unobservable inputs that are not corroborated by market data. Generally, these fair value measures are model-based valuation techniques such as discounted cash flows or option pricing models using own estimates and assumptions or those expected to be used by market participants.</w:t>
      </w:r>
    </w:p>
    <w:p>
      <w:pPr>
        <w:spacing w:after="0" w:line="12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fair values of cash and cash equivalents, receivables, trade accounts payable and accrued expenses and other current liabilities approximate their carrying values because of their short-term nature. Refer to Note 14 for further fair value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includes the sale of:</w:t>
      </w:r>
    </w:p>
    <w:p>
      <w:pPr>
        <w:spacing w:after="0" w:line="175" w:lineRule="exact"/>
        <w:rPr>
          <w:sz w:val="20"/>
          <w:szCs w:val="20"/>
          <w:color w:val="auto"/>
        </w:rPr>
      </w:pPr>
    </w:p>
    <w:p>
      <w:pPr>
        <w:ind w:left="900" w:right="580"/>
        <w:spacing w:after="0" w:line="281" w:lineRule="auto"/>
        <w:rPr>
          <w:sz w:val="20"/>
          <w:szCs w:val="20"/>
          <w:color w:val="auto"/>
        </w:rPr>
      </w:pPr>
      <w:r>
        <w:rPr>
          <w:rFonts w:ascii="Times New Roman" w:cs="Times New Roman" w:eastAsia="Times New Roman" w:hAnsi="Times New Roman"/>
          <w:sz w:val="18"/>
          <w:szCs w:val="18"/>
          <w:color w:val="auto"/>
        </w:rPr>
        <w:t>Supplies such as paper, writing instruments, office supplies, cleaning and breakroom items, personal protective equipment, and product subscriptions;</w:t>
      </w:r>
    </w:p>
    <w:p>
      <w:pPr>
        <w:spacing w:after="0" w:line="108" w:lineRule="exact"/>
        <w:rPr>
          <w:sz w:val="20"/>
          <w:szCs w:val="20"/>
          <w:color w:val="auto"/>
        </w:rPr>
      </w:pPr>
    </w:p>
    <w:p>
      <w:pPr>
        <w:ind w:left="900" w:right="400"/>
        <w:spacing w:after="0" w:line="281" w:lineRule="auto"/>
        <w:rPr>
          <w:sz w:val="20"/>
          <w:szCs w:val="20"/>
          <w:color w:val="auto"/>
        </w:rPr>
      </w:pPr>
      <w:r>
        <w:rPr>
          <w:rFonts w:ascii="Times New Roman" w:cs="Times New Roman" w:eastAsia="Times New Roman" w:hAnsi="Times New Roman"/>
          <w:sz w:val="18"/>
          <w:szCs w:val="18"/>
          <w:color w:val="auto"/>
        </w:rPr>
        <w:t>Technology related products such as toner and ink, printers, computers, tablets and accessories, electronic storage, and sales of third-party software, as well as technology support services offerings provided in the Company’s retail stores, such as installation and repair;</w:t>
      </w:r>
    </w:p>
    <w:p>
      <w:pPr>
        <w:spacing w:after="0" w:line="108" w:lineRule="exact"/>
        <w:rPr>
          <w:sz w:val="20"/>
          <w:szCs w:val="20"/>
          <w:color w:val="auto"/>
        </w:rPr>
      </w:pPr>
    </w:p>
    <w:p>
      <w:pPr>
        <w:ind w:left="900" w:right="360"/>
        <w:spacing w:after="0" w:line="281" w:lineRule="auto"/>
        <w:rPr>
          <w:sz w:val="20"/>
          <w:szCs w:val="20"/>
          <w:color w:val="auto"/>
        </w:rPr>
      </w:pPr>
      <w:r>
        <w:rPr>
          <w:rFonts w:ascii="Times New Roman" w:cs="Times New Roman" w:eastAsia="Times New Roman" w:hAnsi="Times New Roman"/>
          <w:sz w:val="18"/>
          <w:szCs w:val="18"/>
          <w:color w:val="auto"/>
        </w:rPr>
        <w:t>Furniture and other products such as desks, seating, luggage, gift cards and warranties, as well as supply chain services and e-procurement platform offerings; and</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Copy and print services, including managed print and fulfillment services.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sells its supplies, furniture and other products through its ODP Business Solutions and Office Depot Divisions. Supply chain services are provided through its Veyer Division, and e-procurement platform fees are generated through its Varis Division. Customers can purchase products through the Company’s call centers, electronically through its Internet websites, or through its retail stores. Revenues from supplies, technology, and furniture and other product sales are recognized when the customer obtains control of the Company’s product, which occurs at a point in time, typically upon delivery to the customer.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also includes arrangements where customers can make special furniture interior design and installation orders that are customized to their needs.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obligations related to these arrangements are satisfied over time.</w:t>
      </w:r>
    </w:p>
    <w:p>
      <w:pPr>
        <w:spacing w:after="0" w:line="15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Substantially all of the Company’s copy and print and technology support services offerings are satisfied at a point in time and revenue is recognized as such. The majority of copy and print offerings, which includes printing, copying, and digital imaging, are fulfilled through retail stores and the related performance obligations are satisfied within a short period of time (generally within the same day).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for an amount that reflects the consideration the Company is entitled to receive in exchange for those products or services. For product sales, transfer of control occurs at a point in time, typically upon delivery to the customer. For service offerings, the transfer of control and satisfaction of the performance obligation is either over time or at a point in time. When performance obligations are satisfied over time, the Company evaluates the pattern of delivery and progress each reporting period and, if necessary, adjusts the measure of performance and related revenue recognition. Revenue is recognized net of allowance for returns and net of any taxes collected from customers, which are subsequently remitted to governmental authorities. Shipping and handling costs are considered fulfillment activities and are recognized within the Company’s cost of goods sold.</w:t>
      </w:r>
    </w:p>
    <w:p>
      <w:pPr>
        <w:spacing w:after="0" w:line="133"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Contracts with customers could include promises to transfer multiple products and services to a customer. Determining whether products and services are considered distinct performance obligations that should be accounted for separately versus together may require significant judgment. Determining the standalone selling price also requires judgment. The Company did not have significant revenues generated from such contracts in 2023, 2022 and 2021.</w:t>
      </w:r>
    </w:p>
    <w:p>
      <w:pPr>
        <w:spacing w:after="0" w:line="10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Products are generally sold with a right of return and the Company may provide other incentives, such as rebates and coupons, which are accounted for as variable consideration when estimating the amount of revenue to recognize. The Company estimates returns and incentives at contract inception and includes the amount in the transaction price for which significant reversal is not probable. These estimates are updated at the end of each reporting period as additional information becomes available.</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offers a customer loyalty program that provides customers with rewards that can be applied to future purchases or other incentives. Loyalty rewards are accounted for as a separate performance obligation and deferred revenue is recorded in the amount of the transaction price allocated to the rewards, inclusive of the impact of estimated breakage. The estimated breakage of loyalty rewards is based on historical redemption rates experienced under the loyalty program. Revenue is recognized when the loyalty rewards are redeemed or expire. As of December 30, 2023 and December 31, 2022, the Company had $6 million and $15 million, respectively, of deferred revenue related to the loyalty program, which is included in Accrued expenses and other current liabilities in the Consolidated Balance Sheets.</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Revenue from bill-and-hold transactions is recognized when all specific requirements for transfer of control under a bill-and-hold arrangement have been met which include, among other things, a request from the customer that the product be held for future scheduled delivery. For these bill-and-hold arrangements, the associated product inventory is identified separately as belonging to the customer and is ready for physical transfer. Bill-and-hold arrangements were immaterial in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A receivable is recognized in the period the Company delivers goods or provides services, and is recorded at the invoiced amount. A receivable is also recognized for unbilled services where the Company’s right to consideration is unconditional, and is recorded based on an estimate of time and materials. Payment terms and conditions vary by contract type, although terms generally include a requirement of payment within 20 to 60 days. In instances where the timing of revenue recognition differs from the timing of invoicing, the Company has determined that the contracts do not include a significant financing component. The primary purpose of the Company’s invoicing terms is to provide customers with simplified and predictable ways of purchasing its products and services.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Contract assets include amounts related to deferred contract acquisition costs (refer to the section “Costs to Obtain a Contract” below) and if applicable, the Company’s conditional right to consideration for completed performance under a contract. The short- and long-term components of contract assets in the table below are included in Prepaid expenses and other current assets, and Other assets, respectively, in the Consolidated Balance Sheets. Contract liabilities include payments received in advance of performance under the contract, which are recognized as revenue when the performance obligation is completed under the contract, as well as accrued contract acquisition costs, liabilities related to the Company’s loyalty program and gift cards. The short-term components of contract liabilities in the table below are included in Accrued expenses and other current liabilities in the Consolidated Balance Sheets.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3920" w:type="dxa"/>
            <w:vAlign w:val="bottom"/>
          </w:tcPr>
          <w:p>
            <w:pPr>
              <w:jc w:val="center"/>
              <w:ind w:left="2722"/>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2"/>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3920" w:type="dxa"/>
            <w:vAlign w:val="bottom"/>
          </w:tcPr>
          <w:p>
            <w:pPr>
              <w:jc w:val="right"/>
              <w:ind w:right="13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369</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412</w:t>
            </w: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contract assets</w:t>
            </w:r>
          </w:p>
        </w:tc>
        <w:tc>
          <w:tcPr>
            <w:tcW w:w="39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contract assets</w:t>
            </w:r>
          </w:p>
        </w:tc>
        <w:tc>
          <w:tcPr>
            <w:tcW w:w="39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0"/>
                <w:szCs w:val="20"/>
                <w:color w:val="auto"/>
              </w:rPr>
            </w:pP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contract liabilities</w:t>
            </w:r>
          </w:p>
        </w:tc>
        <w:tc>
          <w:tcPr>
            <w:tcW w:w="39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39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bl>
    <w:p>
      <w:pPr>
        <w:spacing w:after="0" w:line="1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2023 and 2022, the Company did not have any contract assets related to conditional rights. The Company recognized revenues of $26 million and $27 million in 2023 and 2022, respectively, which were included in the short-term contract liability balance at the beginning of the period. There were no contract assets and liabilities that were recognized in 2023 or 2022 as a result of business combinations. There were no significant adjustments to revenue from performance obligations satisfied in previous periods and there were no contract assets recognized at the beginning of the period that transferred to receivables in 2023 and 2022.</w:t>
      </w:r>
    </w:p>
    <w:p>
      <w:pPr>
        <w:spacing w:after="0" w:line="1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 majority of the purchase orders and statements of work related to contracts with customers require delivery of the product or service within one year or less. For certain service contracts that exceed one year, the Company recognizes revenue at the amount to which it has the right to invoice for services performed. Accordingly, the Company has applied the optional exemption provided by the new revenue recognition standard relating to unsatisfied performance obligations and does not disclose the value of unsatisfied performance obligations for its contracts.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if it expects the benefit of those costs to be longer than one year. The Company has determined that certain rebate incentive programs meet the requirements to be capitalized. These costs are periodically reviewed for impairment and are amortized on a straight-line basis over the expected period of benefit. As of December 30, 2023 and December 31, 2022, short-term contract assets and long-term contract assets in the table above represent capitalized acquisition costs. In 2023, 2022 and 2021, amortization expense was $13 million, $20 million and $24 million, respectively. The Company had no asset impairment charges related to contract assets in the periods presented herein.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Cost of Goods Sold and Occupancy Costs: </w:t>
      </w:r>
      <w:r>
        <w:rPr>
          <w:rFonts w:ascii="Times New Roman" w:cs="Times New Roman" w:eastAsia="Times New Roman" w:hAnsi="Times New Roman"/>
          <w:sz w:val="18"/>
          <w:szCs w:val="18"/>
          <w:color w:val="auto"/>
        </w:rPr>
        <w:t>Cost of goods sold and occupancy costs include: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costs (as discussed above);</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outbound freight;</w:t>
      </w:r>
    </w:p>
    <w:p>
      <w:pPr>
        <w:spacing w:after="0" w:line="170" w:lineRule="exact"/>
        <w:rPr>
          <w:sz w:val="20"/>
          <w:szCs w:val="20"/>
          <w:color w:val="auto"/>
        </w:rPr>
      </w:pPr>
    </w:p>
    <w:p>
      <w:pPr>
        <w:ind w:left="900" w:right="380"/>
        <w:spacing w:after="0" w:line="281" w:lineRule="auto"/>
        <w:rPr>
          <w:sz w:val="20"/>
          <w:szCs w:val="20"/>
          <w:color w:val="auto"/>
        </w:rPr>
      </w:pPr>
      <w:r>
        <w:rPr>
          <w:rFonts w:ascii="Times New Roman" w:cs="Times New Roman" w:eastAsia="Times New Roman" w:hAnsi="Times New Roman"/>
          <w:sz w:val="18"/>
          <w:szCs w:val="18"/>
          <w:color w:val="auto"/>
        </w:rPr>
        <w:t>employee and non-employee receiving, distribution, and occupancy costs (rent), including depreciation, real estate taxes and common area costs, of inventory-holding and selling locations; and</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employee-related costs associated with services provided to customers.</w:t>
      </w:r>
    </w:p>
    <w:p>
      <w:pPr>
        <w:spacing w:after="0" w:line="16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amounts incurred related to expenses of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support functions, including:</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employee payroll and benefits, including variable pay arrangements;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advertising;</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store and field support;</w:t>
      </w:r>
    </w:p>
    <w:p>
      <w:pPr>
        <w:spacing w:after="0" w:line="170" w:lineRule="exact"/>
        <w:rPr>
          <w:sz w:val="20"/>
          <w:szCs w:val="20"/>
          <w:color w:val="auto"/>
        </w:rPr>
      </w:pPr>
    </w:p>
    <w:p>
      <w:pPr>
        <w:ind w:left="900" w:right="240"/>
        <w:spacing w:after="0" w:line="281" w:lineRule="auto"/>
        <w:rPr>
          <w:sz w:val="20"/>
          <w:szCs w:val="20"/>
          <w:color w:val="auto"/>
        </w:rPr>
      </w:pPr>
      <w:r>
        <w:rPr>
          <w:rFonts w:ascii="Times New Roman" w:cs="Times New Roman" w:eastAsia="Times New Roman" w:hAnsi="Times New Roman"/>
          <w:sz w:val="18"/>
          <w:szCs w:val="18"/>
          <w:color w:val="auto"/>
        </w:rPr>
        <w:t>executive management and various staff functions, such as information technology, human resources functions, finance, legal, internal audit, and certain merchandising and product development functions;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operating costs incurred relating to selling activities; and</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closed defined benefit pension and postretirement plans.</w:t>
      </w:r>
    </w:p>
    <w:p>
      <w:pPr>
        <w:spacing w:after="0" w:line="17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are included in the determination of Division operating income to the extent those costs are considered to be directly or closely related to segment activity and through allocation of support costs.</w:t>
      </w:r>
    </w:p>
    <w:p>
      <w:pPr>
        <w:sectPr>
          <w:pgSz w:w="11900" w:h="16838" w:orient="portrait"/>
          <w:cols w:equalWidth="0" w:num="1">
            <w:col w:w="11240"/>
          </w:cols>
          <w:pgMar w:left="320" w:top="768"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 restructuring and other operating expenses, net: </w:t>
      </w:r>
      <w:r>
        <w:rPr>
          <w:rFonts w:ascii="Times New Roman" w:cs="Times New Roman" w:eastAsia="Times New Roman" w:hAnsi="Times New Roman"/>
          <w:sz w:val="18"/>
          <w:szCs w:val="18"/>
          <w:color w:val="auto"/>
        </w:rPr>
        <w:t>Merger, restructuring and other operating expenses, net in the Consolidated Statements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includes charges and, where applicable, credits for costs such as acquisition related expenses, employee termination and retention, transaction and integration-related professional fees, facility closure costs, gains and losses on asset dispositions, and other incremental costs directly related to these activities.</w:t>
      </w:r>
    </w:p>
    <w:p>
      <w:pPr>
        <w:spacing w:after="0" w:line="12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This presentation is used to separately identify these significant costs apart from expenses incurred to sell to and service the Company’s customers or that are more directly related to ongoing operations. Changes in estimates and accruals related to these activities are also reflected on this line. Merger, restructuring and other operating expenses, net are not included in the measure of Division operating income. Refer to Note 3 for additional information.</w:t>
      </w:r>
    </w:p>
    <w:p>
      <w:pPr>
        <w:spacing w:after="0" w:line="11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w:t>
      </w:r>
      <w:r>
        <w:rPr>
          <w:rFonts w:ascii="Times New Roman" w:cs="Times New Roman" w:eastAsia="Times New Roman" w:hAnsi="Times New Roman"/>
          <w:sz w:val="18"/>
          <w:szCs w:val="18"/>
          <w:color w:val="auto"/>
        </w:rPr>
        <w:t>Advertising expenses are charged to Selling, general and administrative expenses when incurred. Advertising expenses recognized were $128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2023, $130 million in 2022 and $139 million in 2021. Prepaid advertising expenses were $2 million as of December 30, 2023 and $3 million as of December 31, 2022.</w:t>
      </w:r>
    </w:p>
    <w:p>
      <w:pPr>
        <w:spacing w:after="0" w:line="11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Compensation expense for all share-based awards expected to vest is measured at fair value on the date of grant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on a straight-line basis over the related service period. The fair value of restricted stock and restricted stock units, including performance-based awards, is determined based on the Company’s stock price on the date of grant. The fair value of stock options is determined using the Black-Scholes option pricing model on the date of grant. Share-based awards with market conditions, such as total shareholder return, are valued using a Monte Carlo simulation as measured on the grant date. Share-based awards that are settled in cash are classified as liabilities and are measured to fair value at each reporting date.</w:t>
      </w:r>
    </w:p>
    <w:p>
      <w:pPr>
        <w:spacing w:after="0" w:line="12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Self-insurance: </w:t>
      </w:r>
      <w:r>
        <w:rPr>
          <w:rFonts w:ascii="Times New Roman" w:cs="Times New Roman" w:eastAsia="Times New Roman" w:hAnsi="Times New Roman"/>
          <w:sz w:val="18"/>
          <w:szCs w:val="18"/>
          <w:color w:val="auto"/>
        </w:rPr>
        <w:t>ODP is primarily self-insured for workers’ compensation, auto and general liability and employee medical insurance programs.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stop-loss coverage to limit the exposure arising from these claims. Self-insurance liabilities are based on claims filed and estimates of claims incurred but not reported. These liabilities are not discounted.</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Vendor Arrangements: </w:t>
      </w:r>
      <w:r>
        <w:rPr>
          <w:rFonts w:ascii="Times New Roman" w:cs="Times New Roman" w:eastAsia="Times New Roman" w:hAnsi="Times New Roman"/>
          <w:sz w:val="18"/>
          <w:szCs w:val="18"/>
          <w:color w:val="auto"/>
        </w:rPr>
        <w:t>The Company enters into arrangements with substantially all significant vendors that provide for some form of consideration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from the vendors. Arrangements vary, but some specify volume rebate thresholds, advertising support levels, as well as terms for payment and other administrative matters. The volume-based rebates, supported by a vendor agreement, are estimated throughout the year and reduce the cost of inventory and cost of goods sold during the year. This estimate is regularly monitored and adjusted for current or anticipated changes in purchase levels and for sales activity. Other promotional consideration received is event-based or represents general support and is recognized as a reduction of Cost of goods sold and occupancy costs or Inventories, as appropriate, based on the type of promotion and the agreement with the vendor. Certain arrangements meet the specific, incremental, identifiable criteria that allow for direct operating expense offset, but such arrangements are not significant.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Benefits: </w:t>
      </w:r>
      <w:r>
        <w:rPr>
          <w:rFonts w:ascii="Times New Roman" w:cs="Times New Roman" w:eastAsia="Times New Roman" w:hAnsi="Times New Roman"/>
          <w:sz w:val="18"/>
          <w:szCs w:val="18"/>
          <w:color w:val="auto"/>
        </w:rPr>
        <w:t>The Company sponsors certain closed U.S. and U.K. defined benefit pension plans, certain closed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retiree medical benefit and life insurance plans, as well as a Canadian retiree medical benefit plan open to certain employees.</w:t>
      </w:r>
    </w:p>
    <w:p>
      <w:pPr>
        <w:spacing w:after="0" w:line="1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the funded status of its defined benefit pension, retiree medical benefit and life insurance plans in the Consolidated Balance Sheets, with changes in the funded status recognized primarily through accumulated other comprehensive income (loss), net of tax, in the year in which the changes occur. Actuarially-determined liabilities related to pension and postretirement benefits are recorded based on estimates and assumptions. Factors used in developing estimates of these liabilities include assumptions related to discount rates, rates of return on investments, healthcare cost trends, benefit payment patterns and other factors. The Company also updates periodically its assumptions about employee retirement factors, mortality, and turnover. Refer to Note 13 for additional details.</w:t>
      </w:r>
    </w:p>
    <w:p>
      <w:pPr>
        <w:spacing w:after="0" w:line="128"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Environmental and Asbestos Matters: </w:t>
      </w:r>
      <w:r>
        <w:rPr>
          <w:rFonts w:ascii="Times New Roman" w:cs="Times New Roman" w:eastAsia="Times New Roman" w:hAnsi="Times New Roman"/>
          <w:sz w:val="18"/>
          <w:szCs w:val="18"/>
          <w:color w:val="auto"/>
        </w:rPr>
        <w:t>Environmental and asbestos liabilities relate to acquired legacy paper and forest products businesses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timberland assets. The Company accrues for losses associated with these obligations when probable and reasonably estimable. These liabilities are not discounted. A receivable for insurance recoveries is recorded when probable.</w:t>
      </w:r>
    </w:p>
    <w:p>
      <w:pPr>
        <w:spacing w:after="0" w:line="116"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Leasing Arrangements: </w:t>
      </w:r>
      <w:r>
        <w:rPr>
          <w:rFonts w:ascii="Times New Roman" w:cs="Times New Roman" w:eastAsia="Times New Roman" w:hAnsi="Times New Roman"/>
          <w:sz w:val="17"/>
          <w:szCs w:val="17"/>
          <w:color w:val="auto"/>
        </w:rPr>
        <w:t>The Company conducts a substantial portion of its business in leased properties. The Company first determines whether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arrangement is a lease at inception. Once that determination is made, leasing arrangements are presented in the Consolidated Balance Sheet as follows:</w:t>
      </w:r>
    </w:p>
    <w:p>
      <w:pPr>
        <w:spacing w:after="0" w:line="79" w:lineRule="exact"/>
        <w:rPr>
          <w:sz w:val="20"/>
          <w:szCs w:val="20"/>
          <w:color w:val="auto"/>
        </w:rPr>
      </w:pPr>
    </w:p>
    <w:p>
      <w:pPr>
        <w:ind w:left="900" w:hanging="51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Finance leases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600" w:hanging="515"/>
        <w:spacing w:after="0"/>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 – leases which were referred to as capital leases under the old accounting standard;</w:t>
      </w:r>
    </w:p>
    <w:p>
      <w:pPr>
        <w:spacing w:after="0" w:line="22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ind w:left="1600" w:right="360" w:hanging="515"/>
        <w:spacing w:after="0" w:line="281" w:lineRule="auto"/>
        <w:tabs>
          <w:tab w:leader="none" w:pos="1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borrowings and current maturities of long-term debt – short-term obligations to make lease payments arising from the finance lease; and</w:t>
      </w:r>
    </w:p>
    <w:p>
      <w:pPr>
        <w:spacing w:after="0" w:line="108" w:lineRule="exact"/>
        <w:rPr>
          <w:rFonts w:ascii="Times New Roman" w:cs="Times New Roman" w:eastAsia="Times New Roman" w:hAnsi="Times New Roman"/>
          <w:sz w:val="18"/>
          <w:szCs w:val="18"/>
          <w:color w:val="auto"/>
        </w:rPr>
      </w:pPr>
    </w:p>
    <w:p>
      <w:pPr>
        <w:ind w:left="1600" w:hanging="515"/>
        <w:spacing w:after="0"/>
        <w:tabs>
          <w:tab w:leader="none" w:pos="1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net of current maturities – long-term obligations to make lease payments arising from the finance lease.</w:t>
      </w:r>
    </w:p>
    <w:p>
      <w:pPr>
        <w:spacing w:after="0" w:line="16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left="1600" w:hanging="515"/>
        <w:spacing w:after="0"/>
        <w:tabs>
          <w:tab w:leader="none" w:pos="1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 assets – the Company’s right to use the underlying asset for the lease term;</w:t>
      </w:r>
    </w:p>
    <w:p>
      <w:pPr>
        <w:spacing w:after="0" w:line="170" w:lineRule="exact"/>
        <w:rPr>
          <w:rFonts w:ascii="Times New Roman" w:cs="Times New Roman" w:eastAsia="Times New Roman" w:hAnsi="Times New Roman"/>
          <w:sz w:val="18"/>
          <w:szCs w:val="18"/>
          <w:color w:val="auto"/>
        </w:rPr>
      </w:pPr>
    </w:p>
    <w:p>
      <w:pPr>
        <w:ind w:left="1600" w:hanging="515"/>
        <w:spacing w:after="0"/>
        <w:tabs>
          <w:tab w:leader="none" w:pos="1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and other current liabilities – short-term obligations to make lease payments arising from the operating lease; and</w:t>
      </w:r>
    </w:p>
    <w:p>
      <w:pPr>
        <w:spacing w:after="0" w:line="170" w:lineRule="exact"/>
        <w:rPr>
          <w:rFonts w:ascii="Times New Roman" w:cs="Times New Roman" w:eastAsia="Times New Roman" w:hAnsi="Times New Roman"/>
          <w:sz w:val="18"/>
          <w:szCs w:val="18"/>
          <w:color w:val="auto"/>
        </w:rPr>
      </w:pPr>
    </w:p>
    <w:p>
      <w:pPr>
        <w:ind w:left="1600" w:hanging="515"/>
        <w:spacing w:after="0"/>
        <w:tabs>
          <w:tab w:leader="none" w:pos="1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 long-term obligations to make lease payments arising from the operating lease.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lease ROU assets and liabilities are recognized at commencement date based on the present value of the future minimum lease payments over the lease term. As the rate implicit in the lease is not readily determinable for any of the leases, the Company has utilized its incremental borrowing rate based on the information available at commencement date in determining the present value of future payments. The determination of the appropriate incremental borrowing rate requires management to use significant estimates and assumptions as to its credit rating, base rates and credit spread, and other management assumptions for the impact of collateral. The operating lease ROU asset also includes any lease payments made prior to commencement and excludes lease incentives and initial direct costs incurred. Certain leases include one or more options to renew, with renewal terms that can extend the lease from five to 25 years or more, which is generally at the Company’s discretion. Any option or renewal periods management were reasonably certain of being exercised are included in the lease term and are used in calculating the operating lease ROU assets and lease liabilities. In addition, some of the Company’s leases contain escalation clauses. The Company recognizes rental expense for operating leases that contain predetermined fixed escalation clauses on a straight-line basis over the expected term of the lease.</w:t>
      </w:r>
    </w:p>
    <w:p>
      <w:pPr>
        <w:spacing w:after="0" w:line="13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for which it has made an accounting policy election to account for these as a single lease component.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that are not yet adopted:</w:t>
      </w:r>
    </w:p>
    <w:p>
      <w:pPr>
        <w:spacing w:after="0" w:line="16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Financial Accounting Standards Board (the “FASB”) issued an accounting standard update that modified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all public entities that are required to report segment information. The update will change the reporting of segments by adding significant segment expenses, other segment items, title and position of chief operating decision maker and how they use the reported measures to make decisions. The update also requires all annual disclosures about reportable segment’s profit or loss and assets in interim periods. This accounting update is effective for fiscal years beginning after December 15, 2023, and interim periods within fiscal years beginning after December 15, 2024, with early adoption permitted. The Company is evaluating the impact of this new standard and believes the adoption will have a material impact on its Consolidated Financial Statements.</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an accounting standard update that enhances the transparency and decision usefulness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by adding effects from state and local taxes, foreign tax, changes in tax laws or rates in current period, cross-border tax laws, tax credits, valuation allowances, nontaxable and nondeductible items, and unrecognized tax benefits. This update will also require separate disclosure for any reconciling items. This accounting update is effective for fiscal years beginning after December 15, 2024, and interim periods within fiscal years beginning after December 15, 2025, with early adoption permitted. The Company is evaluating the impact of this new standard and believes the adoption will have a material impact on its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2.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2017, the Company has been acquiring profitable regional office supply distribution businesses to expand its reach and distribution network into geographic areas that were previously underserved. In 2023, the Company acquired two small independent regional office supply distribution businesses in the U.S. Of these two acquisitions, one was completed in the first quarter of 2023 and the other was completed in the fourth quarter of 2023. The Company’s strategy has been to acquire businesses with purchase prices ranging from $5 million to $15 million, which are individually insignificant to the Company. The businesses acquired were consistent with acquisitions of similar sized businesses in the past and the acquisitions were primarily funded with cash on hand.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acquisitions were treated as a purchase in accordance with ASC 805, Business Combinations (“ASC 805”) which requires allocation of the purchase price to the estimated fair values of assets and liabilities acquired in the transactions including goodwill and other intangible assets. The Company has performed a preliminary purchase price allocation of the aggregate purchase price to the estimated fair values of assets and liabilities acquired in the transactions. The preliminary purchase price allocation for the acquired office supply distribution businesses include $7 million of goodwill. An immaterial amount of the aggregate purchase price was allocated to working capital accounts, and $4 million was allocated to a customer relationship intangible. These assets and liabilities are included in the Consolidated Balance Sheet as of December 30, 2023. As additional information is obtained about these assets and liabilities within the measurement period (not to exceed one year from the dates of acquisition), the Company will refine its estimates of fair value to allocate the purchase price. The operating results of the acquired businesses are combined with the Company’s operating results subsequent to their purchase dates and are included in the ODP Business Solutions Division, as described in Note 4. Certain disclosures set forth under ASC 805, including supplemental pro forma financial information, are not disclosed because the operating results of the acquired businesses are not material to the Company.</w:t>
      </w:r>
    </w:p>
    <w:p>
      <w:pPr>
        <w:spacing w:after="0" w:line="120"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Under the business combinations accounting guidance, merger and integration costs are not included as components of consideration transferred. Instead, they are accounted for as expenses in the period in which the costs are incurred. Transaction-related expenses are included in the Merger, restructuring and other operating expenses, net line in the Consolidated Statements of Operations. Refer to Note 3 for additional information about the merger, restructuring and other operating expenses incurred in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3. MERGER, RESTRUCTURING AND OTHER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taken actions to optimize its asset base and drive operational efficiencies. These actions include acquiring profitable businesses, closing underperforming retail stores and non-strategic distribution facilities, consolidating functional activities, eliminating redundant positions and disposing of non-strategic businesses and assets. The expenses and any income recognized directly associated with these actions are included in Merger, restructuring and other operating expenses, net on a separate line in the Consolidated Statements of Operations in order to identify these activities apart from the expenses incurred to sell to and service customers. These expenses are not included in the determination of Division operating income. The table below summarizes the major components of Merger, restructuring and other operating expenses,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Merger and transaction related expenses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integration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Facility closure, contract termination and other expenses, net</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Merger and transaction related expenses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Severance</w:t>
            </w:r>
          </w:p>
        </w:tc>
        <w:tc>
          <w:tcPr>
            <w:tcW w:w="30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closure, contract termination, and other expenses, net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Restructuring expenses, net</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(8 )</w:t>
            </w:r>
          </w:p>
        </w:tc>
        <w:tc>
          <w:tcPr>
            <w:tcW w:w="4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Merger, restructuring and other operating expenses,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TRANSACTION RELATED EXPENSES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Transaction and integration expenses include legal, accounting, and other third-party expenses incurred in connection with acquisitions. In 2023, the Company recognized transactions and integration expenses of less than $1 million related to the acquisition of the two small independent regional office supply distribution businesses in the U.S. In 2022, the Company recognized $7 million income related to earn-out adjustment on the acquisition of BuyerQuest Holdings, Inc. The Company did not incur any additional transaction and integration expenses in 2022. The Company also did not incur any merger and transaction related expenses in 2021.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Maximize B2B Restructuring Plan</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May 2020, the Company’s Board of Directors approved a restructuring plan to re-align the Company’s operational focus to support its “business-to-business” solutions and IT services business units and improve costs (“Maximize B2B Restructuring Plan”). Implementation of the Maximize B2B Restructuring Plan was expected to be substantially completed by the end of 2023. In December 2022, the Company’s Board of Directors approved to extend the program through the end of 2024. The Maximize B2B Restructuring Plan aims to generate savings through optimizing the Company’s retail footprint, removing costs that directly support the Retail business and additional measures to implement a company-wide low-cost business model, which will then be invested in accelerating the growth of the Company’s business-to-business platform.</w:t>
      </w:r>
    </w:p>
    <w:p>
      <w:pPr>
        <w:spacing w:after="0" w:line="13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closed 60 retail stores under the Maximize B2B Restructuring Plan in 2023. The Company had closed 237 retail stores and two distribution facilities in 2022, 2021 and 2020 under the Maximize B2B Restructuring Plan. It is anticipated that additional retail stores will be closed in 2024. However, it is generally understood that closures will approximate the store’s lease termination date.</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2023, the Company had $4 million of restructuring costs associated with the Maximize B2B Restructuring Plan, which primarily related to $5 million of store closure and severance expenses, partially offset by $1 million of gain from sale of store assets. In 2023, the Company made cash payments of $9 million associated with expenditures for the Maximize B2B Restructuring Plan. Since its inception in 2020, the Company incurred $85 million in restructuring expenses to implement the Maximize B2B Restructuring Plan through 2023 for its continuing operations, of which $70 million were cash expenditures. Total estimated restructuring costs related to the Maximize B2B Restructuring Plan are expected to be up to $95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Other operating expenses represent costs incurred that are incremental to those related to running the Company’s core operations, which are presented within Selling, general and administrative expenses on the Consolidated Statements of Operations. The Company did not incur any other operating expenses in 2023. In 2022, the Company had incurred $33 million in third-party professional fees associated with the previously planned separation of its consumer business, which was all incurred in the first half of 2022. Also, the Company incurred $21 million in third-party professional fees in connection with the re-alignment of its operations into four Divisions.</w:t>
      </w:r>
    </w:p>
    <w:p>
      <w:pPr>
        <w:spacing w:after="0" w:line="12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Other operating expenses in 2021 included $32 million in third-party professional fees associated with the previously planned separation activities and $5 million in third-party professional fees incurred related to the evaluation of USR Parent, Inc.’s proposals received during the first half of 2021.</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RESTRUCTURING ACCRUALS</w:t>
      </w:r>
    </w:p>
    <w:p>
      <w:pPr>
        <w:spacing w:after="0" w:line="175"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The activity in the merger and restructuring accruals in 2023 and 2022 is presented in the table below. Certain merger and restructuring charges are excluded from the table because they are paid as incurred or non-cash, such as accelerated depreciation and gains and losses on asset dispositions.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Cash</w:t>
            </w:r>
          </w:p>
        </w:tc>
        <w:tc>
          <w:tcPr>
            <w:tcW w:w="300" w:type="dxa"/>
            <w:vAlign w:val="bottom"/>
          </w:tcPr>
          <w:p>
            <w:pPr>
              <w:spacing w:after="0"/>
              <w:rPr>
                <w:sz w:val="13"/>
                <w:szCs w:val="13"/>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87"/>
        </w:trPr>
        <w:tc>
          <w:tcPr>
            <w:tcW w:w="58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Maximize B2B Restructuring Plan</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1"/>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and contract obligations, accruals for facilities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closures and other costs: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Maximize B2B Restructuring Plan</w:t>
            </w:r>
          </w:p>
        </w:tc>
        <w:tc>
          <w:tcPr>
            <w:tcW w:w="9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Business Review</w:t>
            </w:r>
          </w:p>
        </w:tc>
        <w:tc>
          <w:tcPr>
            <w:tcW w:w="92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Previously planned separation of consumer business and re-alignment</w:t>
            </w:r>
          </w:p>
        </w:tc>
        <w:tc>
          <w:tcPr>
            <w:tcW w:w="9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Maximize B2B Restructuring Plan</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1"/>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and contract obligations, accruals for facilities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closures and other costs: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Maximize B2B Restructuring Plan</w:t>
            </w:r>
          </w:p>
        </w:tc>
        <w:tc>
          <w:tcPr>
            <w:tcW w:w="9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Business Review</w:t>
            </w:r>
          </w:p>
        </w:tc>
        <w:tc>
          <w:tcPr>
            <w:tcW w:w="92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Previously planned separation of consumer business and re-alignment</w:t>
            </w:r>
          </w:p>
        </w:tc>
        <w:tc>
          <w:tcPr>
            <w:tcW w:w="9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The short-term and long-term components of these liabilities are included in Accrued expenses and other current liabilities and Deferred income taxes and other long-term liabilities, respectively, in the Consolidated Balance Sheets.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4.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30, 2023, the Company had four reportable segments:</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ODP Business Solutions Division – </w:t>
      </w:r>
      <w:r>
        <w:rPr>
          <w:rFonts w:ascii="Times New Roman" w:cs="Times New Roman" w:eastAsia="Times New Roman" w:hAnsi="Times New Roman"/>
          <w:sz w:val="18"/>
          <w:szCs w:val="18"/>
          <w:color w:val="auto"/>
        </w:rPr>
        <w:t>The Company’s leading B2B distribution solutions provider serving small, medium and enterprise level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those in the public and education sectors. This segment operates in the United States, Puerto Rico, the U.S. Virgin Islands, and Canada. The ODP Business Solutions Division sells nationally branded, as well as the Company’s private branded, office supply and adjacency products and services to customers, who are served through a dedicated sales force, catalogs, telesales, and electronically through the Company’s Internet websites. Adjacency products and services include cleaning, janitorial, and breakroom supplies, office furniture, technology products, and copy and print services. This segment also includes our Federation entities, which are over 20 regional office supply distribution businesses acquired by the Company as part of its transformation to expand its reach and distribution network into geographic areas that were previously underserved, and which continue to operate under their own brand names. The acquisition of these businesses has allowed for an effective means to expand our distribution reach, target new business customers and grow our offerings beyond traditional office supplies.</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Office Depot Division – </w:t>
      </w:r>
      <w:r>
        <w:rPr>
          <w:rFonts w:ascii="Times New Roman" w:cs="Times New Roman" w:eastAsia="Times New Roman" w:hAnsi="Times New Roman"/>
          <w:sz w:val="18"/>
          <w:szCs w:val="18"/>
          <w:color w:val="auto"/>
        </w:rPr>
        <w:t>The Company’s leading provider of retail consumer and small business products and services distributed through a fully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omni-channel platform of 916 Office Depot and OfficeMax retail locations in the United States, Puerto Rico and the U.S. Virgin Islands, and an eCommerce presence (www.officedepot.com). The Office Depot Division sells office supplies, technology products and solutions, business machines and related supplies, cleaning, breakroom and facilities products, personal protective equipment, and office furniture as well as offering business services including copying, printing, digital imaging, mailing, shipping and technology support services. In addition, the print needs for retail and business customers are facilitated through the Company’s regional print production centers.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Veyer Division – </w:t>
      </w:r>
      <w:r>
        <w:rPr>
          <w:rFonts w:ascii="Times New Roman" w:cs="Times New Roman" w:eastAsia="Times New Roman" w:hAnsi="Times New Roman"/>
          <w:sz w:val="18"/>
          <w:szCs w:val="18"/>
          <w:color w:val="auto"/>
        </w:rPr>
        <w:t>The Company’s supply chain, distribution, procurement and global sourcing operation, which specializes in B2B and consumer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delivery, with core competencies in distribution, fulfillment, transportation, global sourcing and purchasing. The Veyer Division’s customers include our Office Depot Division and ODP Business Solutions Division, as well as third-party customers. The Veyer Division also includes the Company’s global sourcing operations in Asia.</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Varis Division – </w:t>
      </w:r>
      <w:r>
        <w:rPr>
          <w:rFonts w:ascii="Times New Roman" w:cs="Times New Roman" w:eastAsia="Times New Roman" w:hAnsi="Times New Roman"/>
          <w:sz w:val="18"/>
          <w:szCs w:val="18"/>
          <w:color w:val="auto"/>
        </w:rPr>
        <w:t>The Company’s tech-enabled B2B indirect procurement marketplace, which provides a seamless way for buyers and suppliers to transact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platform’s consumer-like buying experience, advanced spend management tools, network of suppliers, and technology capabilities. In connection with the Company’s development efforts of this Division, it acquired BuyerQuest Holdings, Inc. (“BuyerQuest”) in 2021, a software as a service eProcurement platform company. BuyerQuest’s operating results are included in the Varis Division. The Varis Division currently serves enterprise businesses and provides its services to middle- and small-sized businesses. It is focused on filling the growing demand for a B2B centric digital commerce platform that is modern, trusted, and provides the procurement controls and visibility businesses require to operate.</w:t>
      </w:r>
    </w:p>
    <w:p>
      <w:pPr>
        <w:spacing w:after="0" w:line="13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Division operating income is determined based on the measure of performance reported internally to manage the business and for resource allocation. This measure charges to the respective Divisions those expenses considered directly or closely related to their operations and allocates support costs. Certain operating expenses and credits are not allocated to the Divisions, including asset impairments and merger, restructuring and other operating expenses, as well as expenses and credits retained at the Corporate level, including certain management costs and legacy pension and environmental matters. Other companies may charge more or less of these items to their segments and results may not be comparable to similarly titled measures used by other entities.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sales and operating income (loss) by each of the Divisions, reconciled to consolidated totals: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Pr>
          <w:p>
            <w:pPr>
              <w:spacing w:after="0"/>
              <w:rPr>
                <w:sz w:val="17"/>
                <w:szCs w:val="17"/>
                <w:color w:val="auto"/>
              </w:rPr>
            </w:pPr>
          </w:p>
        </w:tc>
        <w:tc>
          <w:tcPr>
            <w:tcW w:w="12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ODP Business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Office Depot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Veyer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Varis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(external)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3,904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7,831</w:t>
            </w:r>
          </w:p>
        </w:tc>
      </w:tr>
      <w:tr>
        <w:trPr>
          <w:trHeight w:val="232"/>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(internal)</w:t>
            </w: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5,253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(5,300 )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3,917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5,288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7,831</w:t>
            </w:r>
          </w:p>
        </w:tc>
      </w:tr>
      <w:tr>
        <w:trPr>
          <w:trHeight w:val="239"/>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Division operating income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174</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375</w:t>
            </w: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(external)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4,005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8,491</w:t>
            </w:r>
          </w:p>
        </w:tc>
      </w:tr>
      <w:tr>
        <w:trPr>
          <w:trHeight w:val="232"/>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(internal)</w:t>
            </w: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5,855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(5,910 )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4,024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5,883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8,491</w:t>
            </w:r>
          </w:p>
        </w:tc>
      </w:tr>
      <w:tr>
        <w:trPr>
          <w:trHeight w:val="239"/>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Division operating income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(external)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8,465</w:t>
            </w:r>
          </w:p>
        </w:tc>
      </w:tr>
      <w:tr>
        <w:trPr>
          <w:trHeight w:val="232"/>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(internal)</w:t>
            </w: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5,963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(6,021 )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3,626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4,864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8,465</w:t>
            </w:r>
          </w:p>
        </w:tc>
      </w:tr>
      <w:tr>
        <w:trPr>
          <w:trHeight w:val="239"/>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Division operating income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-2063115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-2063115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-2063115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-2063115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-2063115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-1181100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-1181100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-1181100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-1181100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-1181100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-299085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-299085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-299085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-299085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-299085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measure of Division operating income to Consolidated income from continuing operations before income taxes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3"/>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Division operating income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375</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387</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Add/(subtract):</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(85 )</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restructuring and other operating expenses, net</w:t>
            </w:r>
          </w:p>
        </w:tc>
        <w:tc>
          <w:tcPr>
            <w:tcW w:w="3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3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47"/>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Unallocated expenses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(85 )</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(91 )</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6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3"/>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4"/>
        </w:trPr>
        <w:tc>
          <w:tcPr>
            <w:tcW w:w="6380" w:type="dxa"/>
            <w:vAlign w:val="bottom"/>
            <w:shd w:val="clear" w:color="auto" w:fill="CFF0FC"/>
          </w:tcPr>
          <w:p>
            <w:pPr>
              <w:ind w:left="380"/>
              <w:spacing w:after="0" w:line="204" w:lineRule="exact"/>
              <w:rPr>
                <w:sz w:val="20"/>
                <w:szCs w:val="20"/>
                <w:color w:val="auto"/>
              </w:rPr>
            </w:pPr>
            <w:r>
              <w:rPr>
                <w:rFonts w:ascii="Times New Roman" w:cs="Times New Roman" w:eastAsia="Times New Roman" w:hAnsi="Times New Roman"/>
                <w:sz w:val="18"/>
                <w:szCs w:val="18"/>
                <w:color w:val="auto"/>
              </w:rPr>
              <w:t>Income from continuing operations before</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7"/>
        </w:trPr>
        <w:tc>
          <w:tcPr>
            <w:tcW w:w="63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420" w:type="dxa"/>
            <w:vAlign w:val="bottom"/>
            <w:tcBorders>
              <w:bottom w:val="single" w:sz="8" w:color="auto"/>
            </w:tcBorders>
            <w:vMerge w:val="continue"/>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sales by major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 sales categories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9"/>
        </w:trPr>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Supplies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3,899</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4,144</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3,815</w:t>
            </w:r>
          </w:p>
        </w:tc>
      </w:tr>
      <w:tr>
        <w:trPr>
          <w:trHeight w:val="238"/>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2,758</w:t>
            </w:r>
          </w:p>
        </w:tc>
      </w:tr>
      <w:tr>
        <w:trPr>
          <w:trHeight w:val="247"/>
        </w:trPr>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Furniture and other</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1,103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1,302</w:t>
            </w:r>
          </w:p>
        </w:tc>
      </w:tr>
      <w:tr>
        <w:trPr>
          <w:trHeight w:val="238"/>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Copy and print</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r>
      <w:tr>
        <w:trPr>
          <w:trHeight w:val="280"/>
        </w:trPr>
        <w:tc>
          <w:tcPr>
            <w:tcW w:w="6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7,831</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8,491</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1028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1028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939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93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other significant balances by each of the Divisions, reconciled to consolidated totals: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Pr>
          <w:p>
            <w:pPr>
              <w:spacing w:after="0"/>
              <w:rPr>
                <w:sz w:val="17"/>
                <w:szCs w:val="17"/>
                <w:color w:val="auto"/>
              </w:rPr>
            </w:pPr>
          </w:p>
        </w:tc>
        <w:tc>
          <w:tcPr>
            <w:tcW w:w="11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ODP Business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2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Office Depot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Veyer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Varis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10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0"/>
        </w:trPr>
        <w:tc>
          <w:tcPr>
            <w:tcW w:w="3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r>
      <w:tr>
        <w:trPr>
          <w:trHeight w:val="239"/>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r>
      <w:tr>
        <w:trPr>
          <w:trHeight w:val="220"/>
        </w:trPr>
        <w:tc>
          <w:tcPr>
            <w:tcW w:w="3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3,886</w:t>
            </w:r>
          </w:p>
        </w:tc>
      </w:tr>
      <w:tr>
        <w:trPr>
          <w:trHeight w:val="239"/>
        </w:trPr>
        <w:tc>
          <w:tcPr>
            <w:tcW w:w="3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21"/>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r>
      <w:tr>
        <w:trPr>
          <w:trHeight w:val="220"/>
        </w:trPr>
        <w:tc>
          <w:tcPr>
            <w:tcW w:w="3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r>
      <w:tr>
        <w:trPr>
          <w:trHeight w:val="239"/>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4,149</w:t>
            </w:r>
          </w:p>
        </w:tc>
      </w:tr>
      <w:tr>
        <w:trPr>
          <w:trHeight w:val="229"/>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0"/>
        </w:trPr>
        <w:tc>
          <w:tcPr>
            <w:tcW w:w="3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39"/>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from continuing operations before income taxes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176</w:t>
            </w:r>
          </w:p>
        </w:tc>
        <w:tc>
          <w:tcPr>
            <w:tcW w:w="5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6"/>
              </w:rPr>
              <w:t>226</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from continuing operations before</w:t>
            </w:r>
          </w:p>
        </w:tc>
        <w:tc>
          <w:tcPr>
            <w:tcW w:w="4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spacing w:after="0"/>
              <w:rPr>
                <w:sz w:val="18"/>
                <w:szCs w:val="18"/>
                <w:color w:val="auto"/>
              </w:rPr>
            </w:pPr>
          </w:p>
        </w:tc>
        <w:tc>
          <w:tcPr>
            <w:tcW w:w="860" w:type="dxa"/>
            <w:vAlign w:val="bottom"/>
            <w:vMerge w:val="restart"/>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vMerge w:val="restart"/>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8"/>
                <w:szCs w:val="18"/>
                <w:color w:val="auto"/>
              </w:rPr>
            </w:pPr>
          </w:p>
        </w:tc>
        <w:tc>
          <w:tcPr>
            <w:tcW w:w="48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6"/>
              </w:rPr>
              <w:t>242</w:t>
            </w:r>
          </w:p>
        </w:tc>
        <w:tc>
          <w:tcPr>
            <w:tcW w:w="3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7"/>
        </w:trPr>
        <w:tc>
          <w:tcPr>
            <w:tcW w:w="5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income tax expense related to income from continuing operations consisted of the following:</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spacing w:after="0"/>
              <w:rPr>
                <w:sz w:val="20"/>
                <w:szCs w:val="20"/>
                <w:color w:val="auto"/>
              </w:rPr>
            </w:pPr>
          </w:p>
        </w:tc>
        <w:tc>
          <w:tcPr>
            <w:tcW w:w="15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62"/>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is a reconciliation of income taxes at the U.S. Federal statutory rate to the provision for income taxes:</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tax computed at the statutory rate</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20" w:type="dxa"/>
            <w:vAlign w:val="bottom"/>
          </w:tcPr>
          <w:p>
            <w:pPr>
              <w:spacing w:after="0"/>
              <w:rPr>
                <w:sz w:val="20"/>
                <w:szCs w:val="20"/>
                <w:color w:val="auto"/>
              </w:rPr>
            </w:pPr>
          </w:p>
        </w:tc>
        <w:tc>
          <w:tcPr>
            <w:tcW w:w="1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income taxed at rates other than federal</w:t>
            </w:r>
          </w:p>
        </w:tc>
        <w:tc>
          <w:tcPr>
            <w:tcW w:w="4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valuation allowance</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goodwill impairments</w:t>
            </w:r>
          </w:p>
        </w:tc>
        <w:tc>
          <w:tcPr>
            <w:tcW w:w="4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non-deductible expenses and settlements</w:t>
            </w:r>
          </w:p>
        </w:tc>
        <w:tc>
          <w:tcPr>
            <w:tcW w:w="420" w:type="dxa"/>
            <w:vAlign w:val="bottom"/>
          </w:tcPr>
          <w:p>
            <w:pPr>
              <w:spacing w:after="0"/>
              <w:rPr>
                <w:sz w:val="20"/>
                <w:szCs w:val="20"/>
                <w:color w:val="auto"/>
              </w:rPr>
            </w:pPr>
          </w:p>
        </w:tc>
        <w:tc>
          <w:tcPr>
            <w:tcW w:w="1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 48 adjustments</w:t>
            </w:r>
          </w:p>
        </w:tc>
        <w:tc>
          <w:tcPr>
            <w:tcW w:w="4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income and additional deductible expenses</w:t>
            </w:r>
          </w:p>
        </w:tc>
        <w:tc>
          <w:tcPr>
            <w:tcW w:w="420" w:type="dxa"/>
            <w:vAlign w:val="bottom"/>
          </w:tcPr>
          <w:p>
            <w:pPr>
              <w:spacing w:after="0"/>
              <w:rPr>
                <w:sz w:val="20"/>
                <w:szCs w:val="20"/>
                <w:color w:val="auto"/>
              </w:rPr>
            </w:pPr>
          </w:p>
        </w:tc>
        <w:tc>
          <w:tcPr>
            <w:tcW w:w="1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(2 )</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of stock compensation windfall</w:t>
            </w:r>
          </w:p>
        </w:tc>
        <w:tc>
          <w:tcPr>
            <w:tcW w:w="4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(5 )</w:t>
            </w:r>
          </w:p>
        </w:tc>
        <w:tc>
          <w:tcPr>
            <w:tcW w:w="6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NOL expirations (additions)</w:t>
            </w:r>
          </w:p>
        </w:tc>
        <w:tc>
          <w:tcPr>
            <w:tcW w:w="420" w:type="dxa"/>
            <w:vAlign w:val="bottom"/>
          </w:tcPr>
          <w:p>
            <w:pPr>
              <w:spacing w:after="0"/>
              <w:rPr>
                <w:sz w:val="20"/>
                <w:szCs w:val="20"/>
                <w:color w:val="auto"/>
              </w:rPr>
            </w:pPr>
          </w:p>
        </w:tc>
        <w:tc>
          <w:tcPr>
            <w:tcW w:w="1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(1 )</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(12 )</w:t>
            </w:r>
          </w:p>
        </w:tc>
        <w:tc>
          <w:tcPr>
            <w:tcW w:w="6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of capital loss carryback</w:t>
            </w:r>
          </w:p>
        </w:tc>
        <w:tc>
          <w:tcPr>
            <w:tcW w:w="420" w:type="dxa"/>
            <w:vAlign w:val="bottom"/>
          </w:tcPr>
          <w:p>
            <w:pPr>
              <w:spacing w:after="0"/>
              <w:rPr>
                <w:sz w:val="20"/>
                <w:szCs w:val="20"/>
                <w:color w:val="auto"/>
              </w:rPr>
            </w:pPr>
          </w:p>
        </w:tc>
        <w:tc>
          <w:tcPr>
            <w:tcW w:w="1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4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(1 )</w:t>
            </w:r>
          </w:p>
        </w:tc>
        <w:tc>
          <w:tcPr>
            <w:tcW w:w="6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61</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2023 and 2022, the mix of income and losses across jurisdictions, although still applicable, has become less of a factor in influencing the Company’s effective tax rates due to limited international operations and improved operating results. The Company’s effective tax rates were 31%, 26% and 19% in 2023, 2022 and 2021, respectively. In 2023, the Company’s effective tax rate was primarily impacted by the goodwill impairment in the Company’s Varis Division, the recognition of a tax windfall associated with stock-based compensation awards, recognition of 2022 and 2023 Research and Development tax credits, and certain nondeductible items. These factors, along with the impact of state taxes and the mix of income and losses across U.S. and non-U.S. jurisdictions, caused the Company’s effective tax rate of 31% for 2023 to differ from the statutory rate of 21%. The Company’s effective tax rate for prior periods has varied considerably primarily due to stock-based compensation awards, recognition of tax benefits due to state taxes, recognition of tax benefits due to an agreement reached with the IRS related to a prior tax position, certain nondeductible items and the mix of income and losses across U.S. and non-U.S. jurisdictions. Changes in pretax income projections and the mix of income across jurisdictions could impact the effective tax rates in future quarters.</w:t>
      </w:r>
    </w:p>
    <w:p>
      <w:pPr>
        <w:spacing w:after="0" w:line="13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continues to have a U.S. valuation allowance for certain U.S. Federal credits and state tax attributes, which relate to deferred tax assets that require either certain types of income or for income to be earned in certain jurisdictions in order to be realized. The Company will continue to assess the realizability of its deferred tax assets in the U.S. and remaining foreign jurisdictions in future periods. Changes in pretax income projections could impact this evaluation in future periods.</w:t>
      </w:r>
    </w:p>
    <w:p>
      <w:pPr>
        <w:sectPr>
          <w:pgSz w:w="11900" w:h="16838" w:orient="portrait"/>
          <w:cols w:equalWidth="0" w:num="1">
            <w:col w:w="11240"/>
          </w:cols>
          <w:pgMar w:left="320" w:top="76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operates in several foreign jurisdictions with income tax rates that differ from the U.S. Federal statutory rate, which resulted in an expense for 2023 presented in the effective tax rate reconciliation. Significant foreign tax jurisdictions for which the Company realized such expense are Canada and Puerto Rico.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and foreign loss carryforwards</w:t>
            </w:r>
          </w:p>
        </w:tc>
        <w:tc>
          <w:tcPr>
            <w:tcW w:w="122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other accrued compensation</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facility closings</w:t>
            </w:r>
          </w:p>
        </w:tc>
        <w:tc>
          <w:tcPr>
            <w:tcW w:w="122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Self-insurance accruals</w:t>
            </w:r>
          </w:p>
        </w:tc>
        <w:tc>
          <w:tcPr>
            <w:tcW w:w="122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and foreign income tax credit carryforwards</w:t>
            </w:r>
          </w:p>
        </w:tc>
        <w:tc>
          <w:tcPr>
            <w:tcW w:w="122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bad debts</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Basis difference in fixed assets</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648</w:t>
            </w:r>
          </w:p>
        </w:tc>
        <w:tc>
          <w:tcPr>
            <w:tcW w:w="3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(244 )</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(266 )</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404</w:t>
            </w:r>
          </w:p>
        </w:tc>
        <w:tc>
          <w:tcPr>
            <w:tcW w:w="3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22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22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12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220" w:type="dxa"/>
            <w:vAlign w:val="bottom"/>
            <w:tcBorders>
              <w:bottom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4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As of December 30, 2023, and December 31, 2022, deferred income tax liabilities amounting to $3 million and $2 million, respectively, are included in deferred income taxes and other long-term liabilities.</w:t>
      </w:r>
    </w:p>
    <w:p>
      <w:pPr>
        <w:spacing w:after="0" w:line="1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30, 2023, the Company has utilized all of its U.S. Federal net operating loss (“NOL”) carryforwards. The Company has $238 million of foreign and $620 million of state NOL carryforwards. Of the state NOL carryforwards, $17 million will expire in 2024 and the remaining balance will expire between 2025 and 2042. In 2022, the Company recognized a capital loss on the sale of CompuCom of $841 million, $94 million of which will be carried back to 2020 and 2021 resulting in an expected federal refund of $20 million. The remaining capital loss carryforward of $747 million will be offset by a valuation allowance until such time as the Company is able to utilize the losses.</w:t>
      </w:r>
    </w:p>
    <w:p>
      <w:pPr>
        <w:spacing w:after="0" w:line="12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Additionally, the Company has $3 million of U.S. Federal tax credit carryforwards, which expire in 2024, and $3 million of state tax credit carryforwards which can be carried forward indefinitely.</w:t>
      </w:r>
    </w:p>
    <w:p>
      <w:pPr>
        <w:spacing w:after="0" w:line="109"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As of December 30, 2023, the Company has not triggered an “ownership change” as defined in Internal Revenue Code Section 382 or other similar provisions that would limit the use of NOL and tax credit carryforwards. However, if the Company were to experience an ownership change in future periods, its deferred tax assets and income tax expense may be negatively impacted. Deferred income taxes have been provided on all undistributed earnings of foreign subsidiaries.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valuation allowances for deferred tax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266</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30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184</w:t>
            </w:r>
          </w:p>
        </w:tc>
        <w:tc>
          <w:tcPr>
            <w:tcW w:w="4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(22 )</w:t>
            </w:r>
          </w:p>
        </w:tc>
        <w:tc>
          <w:tcPr>
            <w:tcW w:w="4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(11 )</w:t>
            </w:r>
          </w:p>
        </w:tc>
        <w:tc>
          <w:tcPr>
            <w:tcW w:w="4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244</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8"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valuation allowance increased in 2022 due to the valuation allowance related to the capital loss on the sale of CompuCom and decreased during 2023 and 2021 due to the expiration of certain credits for which a valuation allowance had been established. As of December 30, 2023, the Company continues to have a U.S. valuation allowance for certain U.S. Federal credits and certain state tax attributes, which relate to deferred tax assets that require either certain types of income or for income to be earned in certain jurisdictions in order to be realized. The Company will continue to assess the realizability of its deferred tax assets in the U.S. and remaining foreign jurisdictions in future periods. Changes in pretax income projections could impact this evaluation in future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unrecognized tax benefits: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related to prior year tax positions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(3 )</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r>
    </w:tbl>
    <w:p>
      <w:pPr>
        <w:spacing w:after="0" w:line="1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Included in the balance of $16 million at December 30, 2023, is $15 million of unrecognized tax benefits that, if recognized, would impact the effective tax rate. The other $1 million primarily results from tax positions that, if sustained, would be offset by changes in deferred tax assets. During 2023, the Company increased the unrecognized tax benefits by $6 million related to a federal and a foreign tax filing. It is anticipated that $5 million of the unfavorable material tax positions will be resolved within the next 12 months. Additionally, the Company anticipates that it is reasonably possible that new issues will be raised or resolved by tax authorities that may require changes to the balance of unrecognized tax benefits; however, an estimate of such changes cannot be reasonably made.</w:t>
      </w:r>
    </w:p>
    <w:p>
      <w:pPr>
        <w:spacing w:after="0" w:line="13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in interest expense and penalties in the provision for income taxes. The Company recognized immaterial interest and penalty expense in 2023, 2022 and 2021. The Company had approximately $4 million accrued for the payment of interest and penalties as of December 30, 2023.</w:t>
      </w:r>
    </w:p>
    <w:p>
      <w:pPr>
        <w:spacing w:after="0" w:line="1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files a U.S. Federal income tax return and other income tax returns in various states and foreign jurisdictions. With few exceptions, the Company is no longer subject to U.S. Federal and state and local income tax examinations for years before 2020 and 2017, respectively. The acquired OfficeMax U.S. consolidated group is no longer subject to U.S. Federal income tax examination and with few exceptions, is no longer subject to U.S. state and local income tax examinations for years before 2017. The U.S. Federal income tax returns for 2021 and 2022 are currently under review. Generally, the Company is subject to routine examination for years 2017 and forward in its international tax jurisdictions.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6.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net earnings (loss) per common share — basic and diluted: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(12 )</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3.61</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(0.25 )</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(7.47 )</w:t>
            </w: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basic earnings (loss) per share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3.61</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3.48</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(3.93 )</w:t>
            </w:r>
          </w:p>
        </w:tc>
      </w:tr>
      <w:tr>
        <w:trPr>
          <w:trHeight w:val="22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r>
      <w:tr>
        <w:trPr>
          <w:trHeight w:val="247"/>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(12 )</w:t>
            </w:r>
          </w:p>
        </w:tc>
        <w:tc>
          <w:tcPr>
            <w:tcW w:w="4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spacing w:after="0"/>
              <w:rPr>
                <w:sz w:val="20"/>
                <w:szCs w:val="20"/>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(0.24 )</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diluted earnings (loss) per share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3.37</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(3.79 )</w:t>
            </w:r>
          </w:p>
        </w:tc>
      </w:tr>
    </w:tbl>
    <w:p>
      <w:pPr>
        <w:spacing w:after="0" w:line="14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Awards of stock options and nonvested shares representing additional shares of outstanding common stock were less than one million for each of the fiscal years ended December 30, 2023, December 31, 2022 and December 25, 2021, but were not included in the computation of diluted weighted-average shares outstanding because their effect would have been antidilutive.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340" w:type="dxa"/>
            <w:vAlign w:val="bottom"/>
          </w:tcPr>
          <w:p>
            <w:pPr>
              <w:spacing w:after="0"/>
              <w:rPr>
                <w:sz w:val="15"/>
                <w:szCs w:val="15"/>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20"/>
                <w:szCs w:val="20"/>
                <w:color w:val="auto"/>
              </w:rPr>
            </w:pPr>
          </w:p>
        </w:tc>
        <w:tc>
          <w:tcPr>
            <w:tcW w:w="15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764</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0"/>
                <w:szCs w:val="20"/>
                <w:color w:val="auto"/>
              </w:rPr>
            </w:pPr>
          </w:p>
        </w:tc>
        <w:tc>
          <w:tcPr>
            <w:tcW w:w="15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572</w:t>
            </w:r>
          </w:p>
        </w:tc>
        <w:tc>
          <w:tcPr>
            <w:tcW w:w="34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761</w:t>
            </w: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753</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r>
      <w:tr>
        <w:trPr>
          <w:trHeight w:val="240"/>
        </w:trPr>
        <w:tc>
          <w:tcPr>
            <w:tcW w:w="7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2,237</w:t>
            </w:r>
          </w:p>
        </w:tc>
        <w:tc>
          <w:tcPr>
            <w:tcW w:w="3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2,208</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(1,878 )</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of property and equipment includes assets held under finance leases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340" w:type="dxa"/>
            <w:vAlign w:val="bottom"/>
          </w:tcPr>
          <w:p>
            <w:pPr>
              <w:spacing w:after="0"/>
              <w:rPr>
                <w:sz w:val="15"/>
                <w:szCs w:val="15"/>
                <w:color w:val="auto"/>
              </w:rPr>
            </w:pPr>
          </w:p>
        </w:tc>
        <w:tc>
          <w:tcPr>
            <w:tcW w:w="14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143</w:t>
            </w:r>
          </w:p>
        </w:tc>
      </w:tr>
      <w:tr>
        <w:trPr>
          <w:trHeight w:val="240"/>
        </w:trPr>
        <w:tc>
          <w:tcPr>
            <w:tcW w:w="7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(125 )</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$60 million in 2023, $75 million in 2022 and $88 million in 2021.</w:t>
      </w:r>
    </w:p>
    <w:p>
      <w:pPr>
        <w:spacing w:after="0" w:line="1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Included in computer software and construction in progress above are capitalized software costs of $814 million and $773 million at December 30, 2023 and December 31, 2022, respectively. The unamortized amounts of the capitalized software costs are $181 million and $145 million at December 30, 2023 and December 31, 2022, respectively. Amortization of capitalized software costs totaled $50 million, $47 million and $49 million in 2023, 2022 and 2021, respectively. Software development costs that do not meet the criteria for capitalization are expensed as incurred.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capitalized software at December 30, 2023 is as follows: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12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amortization period for capitalized software is 4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assets held for sale as of December 30, 2023 consisted of a $6 million land asset.</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corporate headquarters in Boca Raton met the criteria to be classified as held for sale during the third quarter of 2022. The asset was measured at the lower of its carrying amount or estimated fair value less costs to sell upon classification to held for sale, which was $104 million, and did not result in any valuation reserve being recorded. Accordingly, the Company presented its corporate headquarters in Boca Raton within current assets held for sale in the Consolidated Balance Sheets as of December 31, 2022. The Company had entered into an agreement in principle with a third-party buyer to sell this facility. The sales transaction was completed on April 6, 2023, for a sale price of $104 million. As a result, there were no gains or losses recorded as a result of the sales transaction in 2023. Upon the completion of the sale, the Company also leased back a portion of the building’s office space from the new owner.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8.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by segment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ODP Business Solutions Division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142</w:t>
            </w:r>
          </w:p>
        </w:tc>
        <w:tc>
          <w:tcPr>
            <w:tcW w:w="124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Depot Division</w:t>
            </w:r>
          </w:p>
        </w:tc>
        <w:tc>
          <w:tcPr>
            <w:tcW w:w="180" w:type="dxa"/>
            <w:vAlign w:val="bottom"/>
          </w:tcPr>
          <w:p>
            <w:pPr>
              <w:spacing w:after="0"/>
              <w:rPr>
                <w:sz w:val="20"/>
                <w:szCs w:val="20"/>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r>
      <w:tr>
        <w:trPr>
          <w:trHeight w:val="24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Veyer Division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Varis Division</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(68 )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6"/>
              </w:rPr>
              <w:t>(68 )</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-24765</wp:posOffset>
            </wp:positionV>
            <wp:extent cx="939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-7620</wp:posOffset>
            </wp:positionV>
            <wp:extent cx="939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85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as of the first day of fiscal December or more frequently when events or changes in circumstances indicate that impairment may have occurred. The Company performed its fourth quarter 2023 annual goodwill impairment test using a quantitative assessment for its Varis reporting unit, and qualitative assessments for all other reporting units. The Varis reporting unit comprises the Varis Division. The quantitative assessment for Varis reporting unit indicated that its carrying amount exceeded its fair value, and resulted in an impairment charge of $68 million in the fourth quarter of 2023. This non-cash impairment charge is presented within the Asset impairments line for 2023 in the accompanying Consolidated Statements of Operations. At December 30, 2023, the Varis reporting unit does not have any remaining goodwill.</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fair value estimate for the Varis reporting unit was based on a blended analysis of the present value of future discounted cash flows and market value approach. The significant estimates used in the discounted cash flow model included the Company’s weighted average cost of capital, projected cash flows and the long-term rate of growth. Significant estimates in the market approach model included identifying similar companies with comparable business factors such as size, growth, profitability, risk and return on investment and assessing comparable revenue and earnings multiples in estimating the fair value of the reporting unit.</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decline in the fair value of the Varis reporting unit has mainly resulted from changes to its projected revenue growth rates and timeline, which were finalized during the Company’s annual long-term planning process in the fourth quarter of 2023. The Varis reporting unit has been in operation since 2021, therefore the Company has less experience estimating the operating performance of this reporting unit. The Company’s expected revenue increase has been slower than anticipated due to the time required to ramp up activity for new customers. In addition, during its long-term planning process performed, the Company made adjustments to reduce its forecasted spend on Varis in 2024 and beyond, which further impacted expected revenue growth rates and their timing. These changes in critical assumptions related to the reporting unit resulted in a reduction in its estimated fair value.</w:t>
      </w:r>
    </w:p>
    <w:p>
      <w:pPr>
        <w:spacing w:after="0" w:line="13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will continue to evaluate the recoverability of goodwill at the reporting unit level on an annual basis and whenever events or changes in circumstances indicate there may be a potential impairment. If the operating results of the Company’s reporting units deteriorate in the future, it may cause the fair value of one or more of the reporting units to fall below their carrying value, resulting in additional goodwill impairment charges.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p>
      <w:pPr>
        <w:spacing w:after="0" w:line="1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 had $13 million of trade names as of both December 30, 2023 and December 31, 2022. These indefinite-lived intangible assets are included in Other intangible assets, net in the Consolidated Balance Sheets. There were no impairments identified related to the trade names as part of the Company’s annual indefinite-lived intangible assets impairment test on the first day of fiscal month December in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DEFINITE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Definite-lived intangible assets, which are included in Other intangible assets, net in the Consolidated Balance Sheets,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1"/>
                <w:szCs w:val="11"/>
                <w:color w:val="auto"/>
              </w:rPr>
            </w:pPr>
          </w:p>
        </w:tc>
        <w:tc>
          <w:tcPr>
            <w:tcW w:w="138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32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1"/>
                <w:szCs w:val="11"/>
                <w:color w:val="auto"/>
              </w:rPr>
            </w:pPr>
          </w:p>
        </w:tc>
        <w:tc>
          <w:tcPr>
            <w:tcW w:w="1100" w:type="dxa"/>
            <w:vAlign w:val="bottom"/>
          </w:tcPr>
          <w:p>
            <w:pPr>
              <w:jc w:val="center"/>
              <w:ind w:right="335"/>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87"/>
        </w:trPr>
        <w:tc>
          <w:tcPr>
            <w:tcW w:w="6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(94 )</w:t>
            </w:r>
          </w:p>
        </w:tc>
        <w:tc>
          <w:tcPr>
            <w:tcW w:w="4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62"/>
        </w:trPr>
        <w:tc>
          <w:tcPr>
            <w:tcW w:w="6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1"/>
                <w:szCs w:val="11"/>
                <w:color w:val="auto"/>
              </w:rPr>
            </w:pPr>
          </w:p>
        </w:tc>
        <w:tc>
          <w:tcPr>
            <w:tcW w:w="138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32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1"/>
                <w:szCs w:val="11"/>
                <w:color w:val="auto"/>
              </w:rPr>
            </w:pPr>
          </w:p>
        </w:tc>
        <w:tc>
          <w:tcPr>
            <w:tcW w:w="1100" w:type="dxa"/>
            <w:vAlign w:val="bottom"/>
          </w:tcPr>
          <w:p>
            <w:pPr>
              <w:jc w:val="center"/>
              <w:ind w:right="335"/>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87"/>
        </w:trPr>
        <w:tc>
          <w:tcPr>
            <w:tcW w:w="6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(90 )</w:t>
            </w:r>
          </w:p>
        </w:tc>
        <w:tc>
          <w:tcPr>
            <w:tcW w:w="4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(95 )</w:t>
            </w:r>
          </w:p>
        </w:tc>
        <w:tc>
          <w:tcPr>
            <w:tcW w:w="4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Definite-lived intangible assets generally are amortized using the straight-line method. The remaining weighted average amortization periods for customer relationships is 10 years.</w:t>
      </w:r>
    </w:p>
    <w:p>
      <w:pPr>
        <w:spacing w:after="0" w:line="10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Amortization of intangible assets was $5 million in 2023, $9 million in 2022 and $9 million in 2021. Intangible assets amortization expenses are included in the Consolidated Statements of Operations in Selling, general and administrative expenses.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2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THE ODP CORPORATION</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92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2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the intangible assets is as follows: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7"/>
        </w:trPr>
        <w:tc>
          <w:tcPr>
            <w:tcW w:w="20" w:type="dxa"/>
            <w:vAlign w:val="bottom"/>
          </w:tcPr>
          <w:p>
            <w:pPr>
              <w:spacing w:after="0"/>
              <w:rPr>
                <w:sz w:val="24"/>
                <w:szCs w:val="24"/>
                <w:color w:val="auto"/>
              </w:rPr>
            </w:pPr>
          </w:p>
        </w:tc>
        <w:tc>
          <w:tcPr>
            <w:tcW w:w="9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51"/>
        </w:trPr>
        <w:tc>
          <w:tcPr>
            <w:tcW w:w="20" w:type="dxa"/>
            <w:vAlign w:val="bottom"/>
          </w:tcPr>
          <w:p>
            <w:pPr>
              <w:spacing w:after="0"/>
              <w:rPr>
                <w:sz w:val="21"/>
                <w:szCs w:val="21"/>
                <w:color w:val="auto"/>
              </w:rPr>
            </w:pPr>
          </w:p>
        </w:tc>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51"/>
        </w:trPr>
        <w:tc>
          <w:tcPr>
            <w:tcW w:w="20" w:type="dxa"/>
            <w:vAlign w:val="bottom"/>
          </w:tcPr>
          <w:p>
            <w:pPr>
              <w:spacing w:after="0"/>
              <w:rPr>
                <w:sz w:val="21"/>
                <w:szCs w:val="21"/>
                <w:color w:val="auto"/>
              </w:rPr>
            </w:pPr>
          </w:p>
        </w:tc>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76"/>
        </w:trPr>
        <w:tc>
          <w:tcPr>
            <w:tcW w:w="20" w:type="dxa"/>
            <w:vAlign w:val="bottom"/>
          </w:tcPr>
          <w:p>
            <w:pPr>
              <w:spacing w:after="0"/>
              <w:rPr>
                <w:sz w:val="24"/>
                <w:szCs w:val="24"/>
                <w:color w:val="auto"/>
              </w:rPr>
            </w:pPr>
          </w:p>
        </w:tc>
        <w:tc>
          <w:tcPr>
            <w:tcW w:w="9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4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Definite-lived intangible assets are reviewed whenever events and circumstances indicate the carrying amount may not be recoverable and the remaining useful lives are appropriate. No impairment charges related to definite-lived intangible assets were recognized during 2023, 2022 and 2021.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20" w:type="dxa"/>
            <w:vAlign w:val="bottom"/>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maturities of long-term debt</w:t>
            </w:r>
          </w:p>
        </w:tc>
        <w:tc>
          <w:tcPr>
            <w:tcW w:w="12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7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Facilities loans under the Third Amended Credit Agreement, due 2025</w:t>
            </w:r>
          </w:p>
        </w:tc>
        <w:tc>
          <w:tcPr>
            <w:tcW w:w="12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bonds, due in varying amounts periodically through 2029</w:t>
            </w:r>
          </w:p>
        </w:tc>
        <w:tc>
          <w:tcPr>
            <w:tcW w:w="1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&amp; Foreign Power Company, Inc. 5% debentures, due 2030</w:t>
            </w:r>
          </w:p>
        </w:tc>
        <w:tc>
          <w:tcPr>
            <w:tcW w:w="12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financing obligations</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FF0FC"/>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of existing loan agreements at December 30,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AMENDED CREDIT AGREEMENT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17, 2020, the Company entered into the Third Amended and Restated Credit Agreement (the “Third Amended Credit Agreement”), which provided for a $1.2 billion asset-based revolving credit facility (the “Revolving Loan Facility”) and a $100 million asset-based first-in, last-out term loan facility (the “FILO Term Loan Facility”), for an aggregate principal amount of up to $1.3 billion (the “New Facilities”). The New Facilities mature on April 17, 2025. The Third Amended Credit Agreement replaced the Company’s then existing amended and restated credit agreement that was due to mature in May 2021.</w:t>
      </w:r>
    </w:p>
    <w:p>
      <w:pPr>
        <w:spacing w:after="0" w:line="12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Third Amended Credit Agreement also provides that the Revolving Loan Facility may be increased by up to $250 million, subject to certain terms and conditions, including increased commitments from existing or new lenders. As provided by the Third Amended Credit Agreement, available amounts that can be borrowed at any given time are based on percentages of certain outstanding accounts receivable, credit card receivables, inventory, cash value of company-owned life insurance policies, and certain specific real estate of the Company (the “Borrowing Base”). The Revolving Loan Facility included two sub-facilities of: (1) up to $1.150 billion which is available to the Company and certain of the Company’s domestic subsidiaries (which includes a letter of credit sub-facility of up to $400 million and a swingline loan sub-facility of up to $115 million); and (2) up to $50 million which is available to certain of the Company’s Canadian subsidiaries (which included a letter of credit sub-facility of up to $25 million and a swingline loan sub-facility of up to $5 million). Certain of the Company’s subsidiaries guarantee the obligations under the New Facilities (the “Guarantors”). All loans borrowed under the Revolving Loan Facility may be borrowed, repaid and reborrowed from time to time until the maturity date of April 17, 2025 as provided in the Third Amended Credit Agreement. The FILO Term Loan Facility, once repaid, may not be reborrowed. In 2022, the Company reduced its asset-based revolving credit facility by $200 million to $1.0 billion and retired $43 million of outstanding FILO Term Loan Facility loans under the Third Amended Credit Agreement.</w:t>
      </w:r>
    </w:p>
    <w:p>
      <w:pPr>
        <w:sectPr>
          <w:pgSz w:w="11900" w:h="16838" w:orient="portrait"/>
          <w:cols w:equalWidth="0" w:num="1">
            <w:col w:w="11240"/>
          </w:cols>
          <w:pgMar w:left="320" w:top="768"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amounts borrowed under the New Facilities, as well as the obligations of the Guarantors, are secured by a first priority lien on the Company’s and such Guarantors’ accounts receivables, inventory, cash, cash equivalents, deposit accounts, intercompany loan rights, certain pledged notes, certain life insurance policies, certain related assets, certain real estate and the proceeds thereof in each case. At the Company’s option, borrowings made pursuant to the Third Amended Credit Agreement bear interest at either, (i) the alternate base rate (defined as the higher of the Prime Rate (as announced by the agent), the Federal Funds Rate plus 1/2 of 1% and the one month Adjusted LIBOR (defined below) plus 1%) or (ii) the Adjusted LIBOR (defined as the LIBOR as adjusted for statutory reserves) plus, in either case, a certain margin based on the aggregate average availability under the Third Amended Credit Agreement. In 2023, the Third Amended Credit Agreement was amended to replace the LIBOR-based Eurocurrency reference interest rate option with a reference interest rate option based upon SOFR. Other than the foregoing, the material terms of the Third Amended Credit Agreement remain unchanged.</w:t>
      </w:r>
    </w:p>
    <w:p>
      <w:pPr>
        <w:spacing w:after="0" w:line="135" w:lineRule="exact"/>
        <w:rPr>
          <w:sz w:val="20"/>
          <w:szCs w:val="20"/>
          <w:color w:val="auto"/>
        </w:rPr>
      </w:pPr>
    </w:p>
    <w:p>
      <w:pPr>
        <w:jc w:val="both"/>
        <w:ind w:right="780"/>
        <w:spacing w:after="0" w:line="265" w:lineRule="auto"/>
        <w:rPr>
          <w:sz w:val="20"/>
          <w:szCs w:val="20"/>
          <w:color w:val="auto"/>
        </w:rPr>
      </w:pPr>
      <w:r>
        <w:rPr>
          <w:rFonts w:ascii="Times New Roman" w:cs="Times New Roman" w:eastAsia="Times New Roman" w:hAnsi="Times New Roman"/>
          <w:sz w:val="18"/>
          <w:szCs w:val="18"/>
          <w:color w:val="auto"/>
        </w:rPr>
        <w:t>The Third Amended Credit Agreement contains representations, warranties, affirmative and negative covenants, and default provisions which are conditions precedent to borrowing. The most significant of these covenants and default provisions include limitations in certain circumstances on acquisitions, dispositions, share repurchases and the payment of cash dividends.</w:t>
      </w:r>
    </w:p>
    <w:p>
      <w:pPr>
        <w:spacing w:after="0" w:line="12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New Facilities also include provisions whereby if the global availability is less than 12.5% of the Borrowing Base, the Company’s cash collections go first to the agent to satisfy outstanding borrowings. Further, if total availability falls below 10% of the Borrowing Base, a fixed charge coverage ratio test is required. Any event of default that is not cured within the permitted period, including non-payment of amounts when due, any debt in excess of $25 million becoming due before the scheduled maturity date, or the acquisition of more than 40% of the ownership of the Company by any person or group, within the meaning of the Securities and Exchange Act of 1934, could result in a termination of the New Facilities and all amounts outstanding becoming immediately due and payable.</w:t>
      </w:r>
    </w:p>
    <w:p>
      <w:pPr>
        <w:spacing w:after="0" w:line="13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In 2023, the Company elected to draw down $200 million under the Third Amended Credit Agreement to fund the repurchase of its common stock from HG Vora Special Opportunities Master Fund, Ltd. (“HG Vora”) as part of the Company’s existing $1 billion stock repurchase program, as well as for working capital management and timing of collections and disbursements. This was repaid, resulting in no revolving loans outstanding at December 30, 2023. The Company retired $4 million of outstanding FILO Term Loan Facility loans. At December 30, 2023, the Company had $53 million of outstanding FILO Term Loan Facility loans, $38 million of outstanding standby letters of credit, and $696 million of available credit under the Third Amended Credit Agreement. In January 2024, the Company retired $53 million of outstanding FILO Term Loan Facility loans. This was funded through available liquidity.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SHORT- AND LONG-TERM DEBT</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As a result of the OfficeMax merger, the Company assumed the liability for the amounts in the table above on page 82 related to the (i) Revenue bonds, due in varying amounts periodically through 2029, and (ii) American &amp; Foreign Power Company, Inc. 5% debentures, due 2030. Also, the Company has finance lease obligations which relate to buildings and equipment, and various other financing obligations for the amounts included in the table above on page 82.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DEBT MATURITIES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annual maturities of recourse debt, finance lease, and other financing obligations are as follows: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4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interest on finance leases</w:t>
            </w: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4" w:lineRule="exact"/>
        <w:rPr>
          <w:sz w:val="20"/>
          <w:szCs w:val="20"/>
          <w:color w:val="auto"/>
        </w:rPr>
      </w:pPr>
    </w:p>
    <w:p>
      <w:pPr>
        <w:sectPr>
          <w:pgSz w:w="11900" w:h="16838" w:orient="portrait"/>
          <w:cols w:equalWidth="0" w:num="1">
            <w:col w:w="11240"/>
          </w:cols>
          <w:pgMar w:left="320" w:top="768" w:right="339" w:bottom="1440" w:gutter="0" w:footer="0" w:header="0"/>
        </w:sectPr>
      </w:pPr>
    </w:p>
    <w:p>
      <w:pPr>
        <w:ind w:left="380"/>
        <w:spacing w:after="0"/>
        <w:rPr>
          <w:sz w:val="20"/>
          <w:szCs w:val="20"/>
          <w:color w:val="auto"/>
        </w:rPr>
      </w:pPr>
      <w:r>
        <w:rPr>
          <w:rFonts w:ascii="Times New Roman" w:cs="Times New Roman" w:eastAsia="Times New Roman" w:hAnsi="Times New Roman"/>
          <w:sz w:val="18"/>
          <w:szCs w:val="18"/>
          <w:color w:val="auto"/>
        </w:rPr>
        <w:t>Current portion</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long-term debt</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Times New Roman" w:cs="Times New Roman" w:eastAsia="Times New Roman" w:hAnsi="Times New Roman"/>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-113030</wp:posOffset>
            </wp:positionV>
            <wp:extent cx="7132320"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12674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12674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1980"/>
          </w:cols>
          <w:pgMar w:left="320" w:top="768" w:right="339" w:bottom="1440" w:gutter="0" w:footer="0" w:header="0"/>
          <w:type w:val="continuous"/>
        </w:sect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leases retail stores and other facilities, vehicles, and equipment under operating lease agreements. Facility leases typically are for a fixed non-cancellable term with one or more renewal options. In addition to rent payments, the Company is required to pay certain variable lease costs such as real estate taxes, insurance and common-area maintenance on most of the facility leases. For leases beginning in 2019, the Company accounts for lease components (e.g., fixed payments including rent) and non-lease components (e.g., real estate taxes, insurance costs and common-area maintenance costs) as a single lease component. Certain leases contain provisions for additional rent to be paid if sales exceed a specified amount, though such payments have been immaterial during the periods presented and are recognized as variable lease cost. The Company subleases certain real estate to third parties, consisting mainly of operating leases for retail stores.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325</w:t>
            </w: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94</w:t>
            </w: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1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9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439</w:t>
            </w:r>
          </w:p>
        </w:tc>
        <w:tc>
          <w:tcPr>
            <w:tcW w:w="98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354</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w:t>
            </w: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finance lease liabilities</w:t>
            </w: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375</w:t>
            </w:r>
          </w:p>
        </w:tc>
        <w:tc>
          <w:tcPr>
            <w:tcW w:w="9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c>
          <w:tcPr>
            <w:tcW w:w="38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sheets information related to leases was as follows:</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41"/>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lease term and discount rate)</w:t>
            </w:r>
          </w:p>
        </w:tc>
        <w:tc>
          <w:tcPr>
            <w:tcW w:w="1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25</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983</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273</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789</w:t>
            </w:r>
          </w:p>
        </w:tc>
        <w:tc>
          <w:tcPr>
            <w:tcW w:w="38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 finance leases</w:t>
            </w: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 operating leases</w:t>
            </w: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finance leases</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5.0 %</w:t>
            </w:r>
          </w:p>
        </w:tc>
        <w:tc>
          <w:tcPr>
            <w:tcW w:w="3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6.9 %</w:t>
            </w:r>
          </w:p>
        </w:tc>
        <w:tc>
          <w:tcPr>
            <w:tcW w:w="3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667"/>
        </w:trPr>
        <w:tc>
          <w:tcPr>
            <w:tcW w:w="5420" w:type="dxa"/>
            <w:vAlign w:val="bottom"/>
          </w:tcPr>
          <w:p>
            <w:pPr>
              <w:spacing w:after="0"/>
              <w:rPr>
                <w:sz w:val="24"/>
                <w:szCs w:val="24"/>
                <w:color w:val="auto"/>
              </w:rPr>
            </w:pPr>
          </w:p>
        </w:tc>
        <w:tc>
          <w:tcPr>
            <w:tcW w:w="110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-1189355</wp:posOffset>
            </wp:positionV>
            <wp:extent cx="7132320" cy="1454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80"/>
          </w:cols>
          <w:pgMar w:left="320" w:top="768"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30, 2023 were as follows: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3"/>
        </w:trPr>
        <w:tc>
          <w:tcPr>
            <w:tcW w:w="7680" w:type="dxa"/>
            <w:vAlign w:val="bottom"/>
          </w:tcPr>
          <w:p>
            <w:pPr>
              <w:spacing w:after="0"/>
              <w:rPr>
                <w:sz w:val="20"/>
                <w:szCs w:val="20"/>
                <w:color w:val="auto"/>
              </w:rPr>
            </w:pPr>
          </w:p>
        </w:tc>
        <w:tc>
          <w:tcPr>
            <w:tcW w:w="11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46"/>
        </w:trPr>
        <w:tc>
          <w:tcPr>
            <w:tcW w:w="7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5"/>
              </w:rPr>
              <w:t>Leases</w:t>
            </w:r>
            <w:r>
              <w:rPr>
                <w:rFonts w:ascii="Times New Roman" w:cs="Times New Roman" w:eastAsia="Times New Roman" w:hAnsi="Times New Roman"/>
                <w:sz w:val="19"/>
                <w:szCs w:val="19"/>
                <w:b w:val="1"/>
                <w:bCs w:val="1"/>
                <w:color w:val="auto"/>
                <w:w w:val="95"/>
                <w:vertAlign w:val="superscript"/>
              </w:rPr>
              <w:t>(1)</w:t>
            </w:r>
          </w:p>
        </w:tc>
        <w:tc>
          <w:tcPr>
            <w:tcW w:w="24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Leases</w:t>
            </w:r>
            <w:r>
              <w:rPr>
                <w:rFonts w:ascii="Times New Roman" w:cs="Times New Roman" w:eastAsia="Times New Roman" w:hAnsi="Times New Roman"/>
                <w:sz w:val="19"/>
                <w:szCs w:val="19"/>
                <w:b w:val="1"/>
                <w:bCs w:val="1"/>
                <w:color w:val="auto"/>
                <w:vertAlign w:val="superscript"/>
              </w:rPr>
              <w:t>(2)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8"/>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w:t>
            </w:r>
          </w:p>
        </w:tc>
        <w:tc>
          <w:tcPr>
            <w:tcW w:w="9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77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2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as of December 30, 2023</w:t>
            </w:r>
          </w:p>
        </w:tc>
        <w:tc>
          <w:tcPr>
            <w:tcW w:w="6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9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6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6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1,062</w:t>
            </w:r>
          </w:p>
        </w:tc>
        <w:tc>
          <w:tcPr>
            <w:tcW w:w="9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-1137920</wp:posOffset>
            </wp:positionV>
            <wp:extent cx="1200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-1120775</wp:posOffset>
            </wp:positionV>
            <wp:extent cx="1200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4794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payments include $6 million related to options to extend lease terms that are reasonably certain of being exercised.</w:t>
      </w:r>
    </w:p>
    <w:p>
      <w:pPr>
        <w:spacing w:after="0" w:line="140"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6"/>
          <w:szCs w:val="16"/>
          <w:color w:val="auto"/>
        </w:rPr>
        <w:t>Finance lease payments include $1 million related to options to extend lease terms that are reasonably certain of being exercised. There were no legally binding minimum lease payments for leases signed but not yet commenced.</w:t>
      </w:r>
    </w:p>
    <w:p>
      <w:pPr>
        <w:spacing w:after="0" w:line="97" w:lineRule="exact"/>
        <w:rPr>
          <w:sz w:val="20"/>
          <w:szCs w:val="20"/>
          <w:color w:val="auto"/>
        </w:rPr>
      </w:pPr>
    </w:p>
    <w:p>
      <w:pPr>
        <w:sectPr>
          <w:pgSz w:w="11900" w:h="16838" w:orient="portrait"/>
          <w:cols w:equalWidth="0" w:num="2">
            <w:col w:w="120" w:space="400"/>
            <w:col w:w="10720"/>
          </w:cols>
          <w:pgMar w:left="320" w:top="7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NOTE 11.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As of each of December 30, 2023, and December 31, 2022, there were 1,000,000 shares of $0.01 par value per share of preferred stock authorized; no shares were issued and outstanding.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October 2022, the Board of Directors approved a stock repurchase program of up to $1 billion, available through December 31, 2025 which replaced the then existing $600 million stock repurchase program effective November 3, 2022. The authorization may be suspended or discontinued at any time. The exact timing of share repurchases will depend on market conditions and other factors, and will be funded through available cash balances.</w:t>
      </w:r>
    </w:p>
    <w:p>
      <w:pPr>
        <w:spacing w:after="0" w:line="1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repurchased six million shares in 2023 for total consideration of $298 million. Of the total shares repurchased, two million shares were purchased from HG Vora for a cost of $89 million pursuant to the related stock purchase agreement that the Company entered into with HG Vora, effective March 13, 2023. As of December 30, 2023, $552 million remains available for stock repurchases under the current stock repurchase program, after considering purchases made under the $1 billion authorization effective November 3, 2022. In February 2024, the Company’s Board of Directors approved a new stock repurchase program of up to $1 billion of its common stock, available through March 31, 2027, which replaced the then existing $1 billion stock repurchase program. Subsequent to the end of fiscal 2023 and through February 21, 2024, the Company repurchased 332 thousand shares of its common stock at a cost of $17 million.</w:t>
      </w:r>
    </w:p>
    <w:p>
      <w:pPr>
        <w:spacing w:after="0" w:line="18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At December 30, 2023, there were 30 million shares of common stock held in treasury. The Company’s Third Amended Credit Agreement permits restricted payments, such as common stock repurchases, but may be limited if the Company does not meet the required minimum liquidity or fixed charge coverage ratio requirements. Refer to Note 9 for additional information about the Company’s compliance with covenants.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Company did not declare any cash dividends in 2023. The Company does not anticipate declaring cash dividends in the foreseeable future. The Company’s Third Amended Credit Agreement permits restricted payments, such as dividends, but may be limited if the Company does not meet the required minimum liquidity or fixed charge coverage ratio requirements. Refer to Note 9 for additional information about the Company’s compliance with covenants.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activity, net of tax, where applicable, is provided in the following tables: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06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0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38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6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(39 )</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(38 )</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w:t>
            </w:r>
          </w:p>
        </w:tc>
        <w:tc>
          <w:tcPr>
            <w:tcW w:w="10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impact</w:t>
            </w:r>
          </w:p>
        </w:tc>
        <w:tc>
          <w:tcPr>
            <w:tcW w:w="10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(2 )</w:t>
            </w:r>
          </w:p>
        </w:tc>
        <w:tc>
          <w:tcPr>
            <w:tcW w:w="3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 where applicable</w:t>
            </w: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(45 )</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8"/>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30, 2023</w:t>
            </w:r>
          </w:p>
        </w:tc>
        <w:tc>
          <w:tcPr>
            <w:tcW w:w="106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(31 )</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(83 )</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82"/>
        </w:trPr>
        <w:tc>
          <w:tcPr>
            <w:tcW w:w="6620" w:type="dxa"/>
            <w:vAlign w:val="bottom"/>
          </w:tcPr>
          <w:p>
            <w:pPr>
              <w:spacing w:after="0"/>
              <w:rPr>
                <w:sz w:val="24"/>
                <w:szCs w:val="24"/>
                <w:color w:val="auto"/>
              </w:rPr>
            </w:pPr>
          </w:p>
        </w:tc>
        <w:tc>
          <w:tcPr>
            <w:tcW w:w="106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0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38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6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25, 2021</w:t>
            </w: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(27 )</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activity before reclassifications</w:t>
            </w:r>
          </w:p>
        </w:tc>
        <w:tc>
          <w:tcPr>
            <w:tcW w:w="10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2"/>
              </w:rPr>
              <w:t>(18 )</w:t>
            </w:r>
          </w:p>
        </w:tc>
        <w:tc>
          <w:tcPr>
            <w:tcW w:w="32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(62 )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foreign currency translation adjustments</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realized upon disposal of business</w:t>
            </w:r>
          </w:p>
        </w:tc>
        <w:tc>
          <w:tcPr>
            <w:tcW w:w="10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impact</w:t>
            </w: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 where applicable</w:t>
            </w:r>
          </w:p>
        </w:tc>
        <w:tc>
          <w:tcPr>
            <w:tcW w:w="106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(12 )</w:t>
            </w:r>
          </w:p>
        </w:tc>
        <w:tc>
          <w:tcPr>
            <w:tcW w:w="3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(59 )</w:t>
            </w:r>
          </w:p>
        </w:tc>
        <w:tc>
          <w:tcPr>
            <w:tcW w:w="3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2"/>
              </w:rPr>
              <w:t>(39 )</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(38 )</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12.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ODP CORPORATION LONG-TERM INCENTIVE PLAN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2021, the Company’s Board of Directors adopted, and the shareholders approved, the ODP Corporation 2021 Long-Term Incentive Plan (the “Plan”). The Plan replaces the Office Depot, Inc. 2019 Long-Term Incentive Plan, the Office Depot, Inc. 2017 Long-Term Incentive Plan, the Office Depot, Inc. 2015 Long-Term Incentive Plan, the Office Depot, Inc. 2007 Long-Term Incentive Plan, as amended, and the 2003 OfficeMax Incentive and Performance Plan (together, the “Prior Plans”). No additional awards were granted under the Prior Plans effective March 10, 2021, the effective date of the Plan. The Plan permits the issuance of stock options, nonqualified stock options, stock appreciation rights, restricted stock, restricted stock units, performance shares, and other equity-based incentive awards. Employee share-based awards are generally issued in the first quarter of the year. Total compensation expense for share-based awards was $34 million in 2023, $40 million in 2022 and $38 million in 2021, and the total recognized tax benefit related thereto was $12 million in 2023, $11 million in 2022 and $14 million in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And Restricted Stock Units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2023, the Company granted 0.4 million shares of restricted stock and restricted stock units to eligible employees which included 26,000 shares granted to the Board of Directors. The Board of Directors are granted restricted stock units as part of their annual compensation which vest immediately on the grant date with distribution to occur following their separation from service with the Company. Restricted stock grants to Company employees typically vest annually over a three-year service period. A summary of the status of the Company’s nonvested shares and changes during 2023, 2022 and 2021 is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1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90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2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1,530,962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37.54</w:t>
            </w:r>
          </w:p>
        </w:tc>
        <w:tc>
          <w:tcPr>
            <w:tcW w:w="118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1,386,778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30.48</w:t>
            </w:r>
          </w:p>
        </w:tc>
        <w:tc>
          <w:tcPr>
            <w:tcW w:w="12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1,526,653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407,028</w:t>
            </w:r>
          </w:p>
        </w:tc>
        <w:tc>
          <w:tcPr>
            <w:tcW w:w="16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47.28</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933,487</w:t>
            </w:r>
          </w:p>
        </w:tc>
        <w:tc>
          <w:tcPr>
            <w:tcW w:w="1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42.81</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521,512</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(616,705 )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34.64</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(585,563 )</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29.65</w:t>
            </w:r>
          </w:p>
        </w:tc>
        <w:tc>
          <w:tcPr>
            <w:tcW w:w="12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(593,249 )</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(117,932 )</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43.41</w:t>
            </w: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(203,740 )</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36.29</w:t>
            </w: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(68,138 )</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7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2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1,203,353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41.75</w:t>
            </w:r>
          </w:p>
        </w:tc>
        <w:tc>
          <w:tcPr>
            <w:tcW w:w="118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1,530,962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37.54</w:t>
            </w:r>
          </w:p>
        </w:tc>
        <w:tc>
          <w:tcPr>
            <w:tcW w:w="120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1,386,778</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30, 2023, there was approximately $26 million of total unrecognized compensation cost related to nonvested restricted stock. This expense, net of forfeitures, is expected to be recognized over a weighted-average period of approximately 1.7 years. Total outstanding shares of 1.2 million include 0.2 million granted to members of the Board of Directors that have vested but will not be issued until separation from service and one million unvested shares granted to employees. The Company estimates that all one million unvested shares at year end will vest. The total fair value of shares at the time they vested during 2023 was $29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Incentive Program</w:t>
      </w:r>
    </w:p>
    <w:p>
      <w:pPr>
        <w:spacing w:after="0" w:line="173"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8"/>
          <w:szCs w:val="18"/>
          <w:color w:val="auto"/>
        </w:rPr>
        <w:t>The Company has a performance-based long-term incentive program consisting of performance stock units. Payouts under this program are based on achievement of certain financial targets, including the Company’s financial performance and total shareholder return performance set by the Board of Directors and are subject to additional service vesting requirements, generally three years from the grant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performance-based long-term incentive program since inception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29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0" w:type="dxa"/>
            <w:vAlign w:val="bottom"/>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2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2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1,457,725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31.84</w:t>
            </w:r>
          </w:p>
        </w:tc>
        <w:tc>
          <w:tcPr>
            <w:tcW w:w="12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2,175,831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29.33</w:t>
            </w:r>
          </w:p>
        </w:tc>
        <w:tc>
          <w:tcPr>
            <w:tcW w:w="12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2,458,978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774,836</w:t>
            </w:r>
          </w:p>
        </w:tc>
        <w:tc>
          <w:tcPr>
            <w:tcW w:w="140" w:type="dxa"/>
            <w:vAlign w:val="bottom"/>
          </w:tcPr>
          <w:p>
            <w:pPr>
              <w:spacing w:after="0"/>
              <w:rPr>
                <w:sz w:val="20"/>
                <w:szCs w:val="20"/>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51.22</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421,038</w:t>
            </w:r>
          </w:p>
        </w:tc>
        <w:tc>
          <w:tcPr>
            <w:tcW w:w="16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45.01</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1,298,868</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(1,003,764 )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19.39</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(796,019 )</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29.71</w:t>
            </w:r>
          </w:p>
        </w:tc>
        <w:tc>
          <w:tcPr>
            <w:tcW w:w="12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(1,374,442 )</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(100,590 )</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45.29</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(343,125 )</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30.21</w:t>
            </w: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(207,573 )</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7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4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1,128,207</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45.82</w:t>
            </w:r>
          </w:p>
        </w:tc>
        <w:tc>
          <w:tcPr>
            <w:tcW w:w="120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1,457,725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31.84</w:t>
            </w:r>
          </w:p>
        </w:tc>
        <w:tc>
          <w:tcPr>
            <w:tcW w:w="12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2,175,831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As of December 30, 2023, there was approximately $22 million of total unrecognized compensation expense related to the performance-based long-term incentive program. This expense, net of forfeitures, is expected to be recognized over a weighted-average period of approximately 1.9 years. Forfeitures in the table above include adjustments to the share impact of anticipated performance achievement. The Company estimates that 1.1 million unvested shares at year end will vest. The total fair value of shares at the time they vested during 2023 was $46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VARIS INCENTIVE PLAN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2023, the Company’s subsidiary Varis, Inc., which comprises its Varis Division, executed the Varis Incentive Plan which permits the grant of share options for up to 250,000 Varis, Inc. shares to the executives, other employees and non-employee directors of the Varis Division. The options issued under the Varis Incentive Plan have a contractual term of ten years, and vest annually over a five-year requisite service period. Vested options become exercisable commencing the fourth year after the grant date. All outstanding options vest and become exercisable upon a liquidity event. The options also include certain put and call rights which can be executed upon certain conditions.</w:t>
      </w:r>
    </w:p>
    <w:p>
      <w:pPr>
        <w:spacing w:after="0" w:line="12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fair value of the options were determined using the Black-Scholes pricing model at the date of grant. Key assumptions used in the model included volatility, which was estimated as 65% using historical volatility of guideline companies, a risk-free rate of 4%, which was based on Treasury yields, and an expected term of four years. The Company recognizes the fair value of awards as compensation expense on a straight-line basis over five-year requisite service period associated with the award.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Varis Incentive Plan since inception is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center"/>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8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182,800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(20,609 )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0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162,191</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weighted average grant-date fair value of options granted in 2023 was $94. In 2023, 741 shares under the options vested, and 161,450 shares remain unvested. The vested and unvested options do not have any intrinsic value as of December 30, 2023. As of December 30, 2023, there was $13 million of total unrecognized compensation cost related to the nonvested options, which is expected to be recognized over a period of approximately 4.3 years. Total compensation expense for stock options under the Varis Incentive Plan was $2 million in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13.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 PLANS — NORTH AMERICA</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retirement obligations under OfficeMax’s U.S. pension plans. The Company sponsors these defined benefit pension plans covering certain terminated employees, vested employees, retirees and some active employees. In 2004 or earlier, OfficeMax’s pension plans were closed to new entrants and the benefits of eligible participants were frozen. Under the terms of these plans, the pension benefit for employees was based primarily on the employees’ years of service and benefit plan formulas that varied by plan. The Company’s general funding policy is to make contributions to the plans in amounts that are within the limits of deductibility under current tax regulations, and not less than the minimum contribution required by law.</w:t>
      </w:r>
    </w:p>
    <w:p>
      <w:pPr>
        <w:spacing w:after="0" w:line="12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Additionally, under previous OfficeMax arrangements, the Company has responsibility for sponsoring retiree medical benefit and life insurance plans including plans related to operations in the U.S. and Canada (referred to as “Other Benefits” in the tables below). The type of retiree benefits and the extent of coverage vary based on employee classification, date of retirement, location, and other factors. All of these postretirement medical plans are unfunded. The Company explicitly reserves the right to amend or terminate its retiree medical and life insurance plans at any time, subject only to constraints, if any, imposed by the terms of collective bargaining agreements. Amendment or termination may significantly affect the amount of expense incurred.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17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the projected benefit obligation and the fair value of plan assets, as well as the funded status of the plans to amounts recognized on the Company’s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60" w:type="dxa"/>
            <w:vAlign w:val="bottom"/>
            <w:tcBorders>
              <w:bottom w:val="single" w:sz="8" w:color="auto"/>
            </w:tcBorders>
          </w:tcPr>
          <w:p>
            <w:pPr>
              <w:spacing w:after="0"/>
              <w:rPr>
                <w:sz w:val="16"/>
                <w:szCs w:val="16"/>
                <w:color w:val="auto"/>
              </w:rPr>
            </w:pPr>
          </w:p>
        </w:tc>
      </w:tr>
      <w:tr>
        <w:trPr>
          <w:trHeight w:val="169"/>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projected benefit obligation:</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627</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Assumption changes</w:t>
            </w:r>
          </w:p>
        </w:tc>
        <w:tc>
          <w:tcPr>
            <w:tcW w:w="26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Actuarial gain</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(2 )</w:t>
            </w: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(68 )</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Obligation at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592</w:t>
            </w:r>
          </w:p>
        </w:tc>
        <w:tc>
          <w:tcPr>
            <w:tcW w:w="48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627</w:t>
            </w:r>
          </w:p>
        </w:tc>
        <w:tc>
          <w:tcPr>
            <w:tcW w:w="40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625</w:t>
            </w:r>
          </w:p>
        </w:tc>
        <w:tc>
          <w:tcPr>
            <w:tcW w:w="4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836</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Employer contribution</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(68 )</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607</w:t>
            </w:r>
          </w:p>
        </w:tc>
        <w:tc>
          <w:tcPr>
            <w:tcW w:w="4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(liability) recognized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following table shows the amounts recognized in the Consolidated Balance Sheets related to the Company’s North America defined benefit pension and other postretirement benefit plans as of year-ends: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60" w:type="dxa"/>
            <w:vAlign w:val="bottom"/>
            <w:tcBorders>
              <w:bottom w:val="single" w:sz="8" w:color="auto"/>
            </w:tcBorders>
          </w:tcPr>
          <w:p>
            <w:pPr>
              <w:spacing w:after="0"/>
              <w:rPr>
                <w:sz w:val="16"/>
                <w:szCs w:val="16"/>
                <w:color w:val="auto"/>
              </w:rPr>
            </w:pPr>
          </w:p>
        </w:tc>
      </w:tr>
      <w:tr>
        <w:trPr>
          <w:trHeight w:val="169"/>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(1 )</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(7 )</w:t>
            </w: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following table provides the accumulated benefit obligation for the Company’s North America defined benefit pension and other postretirement benefit plans with a projected benefit obligation and an accumulated benefit obligation in excess of plan assets as of year ends: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840" w:type="dxa"/>
            <w:vAlign w:val="bottom"/>
            <w:tcBorders>
              <w:bottom w:val="single" w:sz="8" w:color="auto"/>
            </w:tcBorders>
          </w:tcPr>
          <w:p>
            <w:pPr>
              <w:spacing w:after="0"/>
              <w:rPr>
                <w:sz w:val="15"/>
                <w:szCs w:val="15"/>
                <w:color w:val="auto"/>
              </w:rPr>
            </w:pPr>
          </w:p>
        </w:tc>
      </w:tr>
      <w:tr>
        <w:trPr>
          <w:trHeight w:val="16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 in excess of plan assets</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period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6"/>
              </w:rPr>
              <w:t>(8 )</w:t>
            </w:r>
          </w:p>
        </w:tc>
        <w:tc>
          <w:tcPr>
            <w:tcW w:w="8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(9 )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Projected benefit obligation in excess of plan assets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period</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6"/>
              </w:rPr>
              <w:t>(8 )</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8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Components of Net Periodic Cost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net periodic benefit are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7"/>
        </w:trPr>
        <w:tc>
          <w:tcPr>
            <w:tcW w:w="4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gains</w:t>
            </w: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8"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4"/>
        </w:trPr>
        <w:tc>
          <w:tcPr>
            <w:tcW w:w="46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Accumulated other comprehensive loss (income) at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beginning of year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tcPr>
          <w:p>
            <w:pPr>
              <w:spacing w:after="0"/>
              <w:rPr>
                <w:sz w:val="20"/>
                <w:szCs w:val="20"/>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at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32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year</w:t>
            </w: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gridSpan w:val="2"/>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as of year-ends 2023 and 2022 consist of net losses (gains).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assumptions used in accounting for the Company’s plans are estimates of factors including, among other things, the amount and timing of future benefit payments. The following table presents the key weighted average assumptions used in the measurement of the Company’s benefit obligations as of year-ends: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360" w:type="dxa"/>
            <w:vAlign w:val="bottom"/>
          </w:tcPr>
          <w:p>
            <w:pPr>
              <w:spacing w:after="0"/>
              <w:rPr>
                <w:sz w:val="14"/>
                <w:szCs w:val="14"/>
                <w:color w:val="auto"/>
              </w:rPr>
            </w:pPr>
          </w:p>
        </w:tc>
        <w:tc>
          <w:tcPr>
            <w:tcW w:w="2140" w:type="dxa"/>
            <w:vAlign w:val="bottom"/>
            <w:tcBorders>
              <w:bottom w:val="single" w:sz="8" w:color="auto"/>
            </w:tcBorders>
            <w:gridSpan w:val="2"/>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9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360" w:type="dxa"/>
            <w:vAlign w:val="bottom"/>
          </w:tcPr>
          <w:p>
            <w:pPr>
              <w:spacing w:after="0"/>
              <w:rPr>
                <w:sz w:val="14"/>
                <w:szCs w:val="14"/>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2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5.14 %</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5.37 %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4.90 %</w:t>
            </w: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2.40 %</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4.60 %</w:t>
            </w: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5.10 %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assumptions used in the measurement of net periodic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140" w:type="dxa"/>
            <w:vAlign w:val="bottom"/>
          </w:tcPr>
          <w:p>
            <w:pPr>
              <w:spacing w:after="0"/>
              <w:rPr>
                <w:sz w:val="14"/>
                <w:szCs w:val="14"/>
                <w:color w:val="auto"/>
              </w:rPr>
            </w:pPr>
          </w:p>
        </w:tc>
        <w:tc>
          <w:tcPr>
            <w:tcW w:w="19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140" w:type="dxa"/>
            <w:vAlign w:val="bottom"/>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2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5.37 %</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2.69 %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2.40 %</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1.90 %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2.90 %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1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plan assets</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5.17 %</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3.64 %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For pension benefits, the selected discount rates (which are required to be the rates at which the projected benefit obligations could be effectively settled as of the measurement date) are based on the rates of return for a theoretical portfolio of high-grade corporate bonds (rated AA- or better) with cash flows that generally match expected benefit payments in future years. In selecting bonds for this theoretical portfolio, the Company focuses on bonds that match cash flows to benefit payments and limit the concentration of bonds by issuer. To the extent scheduled bond proceeds exceed the estimated benefit payments in a given period, the yield calculation assumes those excess proceeds are reinvested at an assumed forward rate. The implied forward rate used in the bond model is based on the FTSE (formerly Citigroup) Pension Discount Curve as of the last day of the year. The selected discount rate for other benefits is from a discount rate curve matched to the assumed payout of related obligations. In 2023, as a result of a decrease in the discount rate assumption, pension plan obligations and other postretirement benefit plan obligations increased by $9 million and less than $1 million, respectively. In 2022, as a result of an increase in the discount rate assumption, pension and other postretirement plan obligations decreased by $144 million and $3 million, respectively.</w:t>
      </w:r>
    </w:p>
    <w:p>
      <w:pPr>
        <w:spacing w:after="0" w:line="13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expected long-term rates of return on plan assets assumptions are based on the weighted average of expected returns for the major asset classes in which the plans’ assets are held. Asset-class expected returns are based on long-term historical returns, inflation expectations, forecasted gross domestic product and earnings growth, as well as other economic factors. The weights assigned to each asset class are based on the Company’s investment strategy. The weighted average expected return on plan assets used in the calculation of net periodic pension cost for 2024 is 4.99%.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and costs related to the Canadian retiree health plan are impacted by changes in trend rates.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assumed healthcare cost trend rates used in measuring the Company’s postretirement benefit obligations at year-ends: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3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assumptions as of year-end:</w:t>
            </w:r>
          </w:p>
        </w:tc>
        <w:tc>
          <w:tcPr>
            <w:tcW w:w="16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Healthcare cost trend rate assumed for next year</w:t>
            </w:r>
          </w:p>
        </w:tc>
        <w:tc>
          <w:tcPr>
            <w:tcW w:w="162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5.30 %</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6.10 %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19"/>
        </w:trPr>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w:t>
            </w: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trend rate)</w:t>
            </w:r>
          </w:p>
        </w:tc>
        <w:tc>
          <w:tcPr>
            <w:tcW w:w="162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4.30 %</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43"/>
        </w:trPr>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62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rPr>
              <w:t>2037</w:t>
            </w: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2041</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2041</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290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37"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The Company reassessed the assumptions, including those related to mortality, to measure the North American pension and other postretirement benefit plan obligations at year end 2023. In 2023, as a result of an update in the mortality assumption, pension and other postretirement benefit plan obligations decreased by $6 million and less than $1 million, respectively. The mortality assumption was not updated in 2022.</w:t>
      </w:r>
    </w:p>
    <w:p>
      <w:pPr>
        <w:spacing w:after="0" w:line="1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pension benefits, most of the obligation is based on participant data from the beginning of the year, which is rolled forward using standard actuarial techniques to the end of the year. Therefore, most actuarial (gains) losses that arise from demographic experience of participants varying from the selected assumptions, are not recognized until the following year. In 2023, pension plan obligations decreased by $2 million due to actuarial gains (actual demographic experience varying from actuarial assumptions). In 2022, pension plan obligations decreased by $9 million due to actuarial gains (actual demographic experience varying from actuarial assumptions).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pension plan assets by category at year-ends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16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2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1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21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99 %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76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7660" w:type="dxa"/>
            <w:vAlign w:val="bottom"/>
          </w:tcPr>
          <w:p>
            <w:pPr>
              <w:spacing w:after="0"/>
              <w:rPr>
                <w:sz w:val="20"/>
                <w:szCs w:val="20"/>
                <w:color w:val="auto"/>
              </w:rPr>
            </w:pPr>
          </w:p>
        </w:tc>
        <w:tc>
          <w:tcPr>
            <w:tcW w:w="21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100 %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Employee Benefit Committee is responsible for establishing and overseeing the implementation of the investment policy for the Company’s pension plans. The investment policy is structured to optimize growth of the pension plan trust assets, while minimizing the risk of significant losses, in order to enable the plans to satisfy their benefit payment obligations over time. The Company uses a glide path investment strategy and Company contributions as its primary rebalancing mechanisms to maintain the asset class exposures within the guideline ranges established under the investment policy.</w:t>
      </w:r>
    </w:p>
    <w:p>
      <w:pPr>
        <w:spacing w:after="0" w:line="1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the second quarter of 2017, the Company reinvested substantially all of the assets attributable to the U.S. pension plans in common collective trust funds. The common collective trust funds are comprise a diversified portfolio of investments across various asset classes, including U.S. and international equities and fixed-income securities. The common collective trust funds are valued at the net asset value (“NAV”) provided by the administrator of the fund. The net asset value is based on the value of the underlying assets owned by the fund, minus its liabilities, divided by the number of units outstanding.</w:t>
      </w:r>
    </w:p>
    <w:p>
      <w:pPr>
        <w:spacing w:after="0" w:line="1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investment policy for the pension plan assets allows for a broad range of asset allocations that permit the plans to de-risk in response to changes in funded position and market risks. The current investment policy includes a target asset allocation of 10% equity securities and 90% fixed income securities. Occasionally, the Company may utilize futures or other financial instruments to alter the pension trust’s exposure to various asset classes in a lower-cost manner than trading securities in the underlying portfolios.</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pension plan assets by level within the fair value hierarchy at year-ends.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 Measurements 2023</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Prices</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9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9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9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40" w:type="dxa"/>
            <w:vAlign w:val="bottom"/>
          </w:tcPr>
          <w:p>
            <w:pPr>
              <w:spacing w:after="0"/>
              <w:rPr>
                <w:sz w:val="12"/>
                <w:szCs w:val="12"/>
                <w:color w:val="auto"/>
              </w:rPr>
            </w:pPr>
          </w:p>
        </w:tc>
        <w:tc>
          <w:tcPr>
            <w:tcW w:w="9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98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24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98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980" w:type="dxa"/>
            <w:vAlign w:val="bottom"/>
          </w:tcPr>
          <w:p>
            <w:pPr>
              <w:jc w:val="center"/>
              <w:ind w:right="134"/>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5"/>
              <w:spacing w:after="0" w:line="189" w:lineRule="exact"/>
              <w:rPr>
                <w:sz w:val="20"/>
                <w:szCs w:val="20"/>
                <w:color w:val="auto"/>
              </w:rPr>
            </w:pPr>
            <w:r>
              <w:rPr>
                <w:rFonts w:ascii="Times New Roman" w:cs="Times New Roman" w:eastAsia="Times New Roman" w:hAnsi="Times New Roman"/>
                <w:sz w:val="14"/>
                <w:szCs w:val="14"/>
                <w:b w:val="1"/>
                <w:bCs w:val="1"/>
                <w:color w:val="auto"/>
                <w:w w:val="94"/>
              </w:rPr>
              <w:t xml:space="preserve">at NAV </w:t>
            </w:r>
            <w:r>
              <w:rPr>
                <w:rFonts w:ascii="Times New Roman" w:cs="Times New Roman" w:eastAsia="Times New Roman" w:hAnsi="Times New Roman"/>
                <w:sz w:val="19"/>
                <w:szCs w:val="19"/>
                <w:b w:val="1"/>
                <w:bCs w:val="1"/>
                <w:color w:val="auto"/>
                <w:w w:val="94"/>
                <w:vertAlign w:val="superscript"/>
              </w:rPr>
              <w:t>(a)</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Plan assets measured at net asset value: </w:t>
            </w:r>
            <w:r>
              <w:rPr>
                <w:rFonts w:ascii="Times New Roman" w:cs="Times New Roman" w:eastAsia="Times New Roman" w:hAnsi="Times New Roman"/>
                <w:sz w:val="24"/>
                <w:szCs w:val="24"/>
                <w:b w:val="1"/>
                <w:bCs w:val="1"/>
                <w:color w:val="auto"/>
                <w:vertAlign w:val="superscript"/>
              </w:rPr>
              <w:t>(a)</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small and mid-cap equity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large cap equity securities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common collective trust funds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Plan assets measured in the fair value</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plan assets measured in the fair value</w:t>
            </w: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hierarchy</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4794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2" w:lineRule="exact"/>
        <w:rPr>
          <w:sz w:val="20"/>
          <w:szCs w:val="20"/>
          <w:color w:val="auto"/>
        </w:rPr>
      </w:pPr>
    </w:p>
    <w:p>
      <w:pPr>
        <w:ind w:left="520" w:right="20" w:hanging="512"/>
        <w:spacing w:after="0" w:line="237" w:lineRule="auto"/>
        <w:tabs>
          <w:tab w:leader="none" w:pos="5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Fair values of Common collective trust funds are estimated using net asset value per unit as a practical expedient which are excluded from the disclosure requirement to classify amounts in the fair value hierarchy in connection with the adoption of Accounting Standards Update (ASU) 2015-07, Fair Value Measurement (Topic 820): Disclosures for Investments in Certain Entities That Calculate Net Asset Value per Share (or Its Equivalent).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 Measurements 2022</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Prices</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9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9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9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40" w:type="dxa"/>
            <w:vAlign w:val="bottom"/>
          </w:tcPr>
          <w:p>
            <w:pPr>
              <w:spacing w:after="0"/>
              <w:rPr>
                <w:sz w:val="12"/>
                <w:szCs w:val="12"/>
                <w:color w:val="auto"/>
              </w:rPr>
            </w:pPr>
          </w:p>
        </w:tc>
        <w:tc>
          <w:tcPr>
            <w:tcW w:w="9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98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24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98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980" w:type="dxa"/>
            <w:vAlign w:val="bottom"/>
          </w:tcPr>
          <w:p>
            <w:pPr>
              <w:jc w:val="center"/>
              <w:ind w:right="134"/>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5"/>
              <w:spacing w:after="0" w:line="189" w:lineRule="exact"/>
              <w:rPr>
                <w:sz w:val="20"/>
                <w:szCs w:val="20"/>
                <w:color w:val="auto"/>
              </w:rPr>
            </w:pPr>
            <w:r>
              <w:rPr>
                <w:rFonts w:ascii="Times New Roman" w:cs="Times New Roman" w:eastAsia="Times New Roman" w:hAnsi="Times New Roman"/>
                <w:sz w:val="14"/>
                <w:szCs w:val="14"/>
                <w:b w:val="1"/>
                <w:bCs w:val="1"/>
                <w:color w:val="auto"/>
                <w:w w:val="94"/>
              </w:rPr>
              <w:t xml:space="preserve">at NAV </w:t>
            </w:r>
            <w:r>
              <w:rPr>
                <w:rFonts w:ascii="Times New Roman" w:cs="Times New Roman" w:eastAsia="Times New Roman" w:hAnsi="Times New Roman"/>
                <w:sz w:val="19"/>
                <w:szCs w:val="19"/>
                <w:b w:val="1"/>
                <w:bCs w:val="1"/>
                <w:color w:val="auto"/>
                <w:w w:val="94"/>
                <w:vertAlign w:val="superscript"/>
              </w:rPr>
              <w:t>(a)</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Plan assets measured at net asset value: </w:t>
            </w:r>
            <w:r>
              <w:rPr>
                <w:rFonts w:ascii="Times New Roman" w:cs="Times New Roman" w:eastAsia="Times New Roman" w:hAnsi="Times New Roman"/>
                <w:sz w:val="24"/>
                <w:szCs w:val="24"/>
                <w:b w:val="1"/>
                <w:bCs w:val="1"/>
                <w:color w:val="auto"/>
                <w:vertAlign w:val="superscript"/>
              </w:rPr>
              <w:t>(a)</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small and mid-cap equity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large cap equity securities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common collective trust funds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Plan assets measured in the fair value</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plan assets measured in the fair value</w:t>
            </w: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hierarchy</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4794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2" w:lineRule="exact"/>
        <w:rPr>
          <w:sz w:val="20"/>
          <w:szCs w:val="20"/>
          <w:color w:val="auto"/>
        </w:rPr>
      </w:pPr>
    </w:p>
    <w:p>
      <w:pPr>
        <w:ind w:left="520" w:right="20" w:hanging="512"/>
        <w:spacing w:after="0" w:line="237" w:lineRule="auto"/>
        <w:tabs>
          <w:tab w:leader="none" w:pos="52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Fair values of Common collective trust funds are estimated using net asset value per unit as a practical expedient which are excluded from the disclosure requirement to classify amounts in the fair value hierarchy in connection with the adoption of Accounting Standards Update (ASU) 2015-07, Fair Value Measurement (Topic 820): Disclosures for Investments in Certain Entities That Calculate Net Asset Value per Share (or Its Equivalent).</w:t>
      </w:r>
    </w:p>
    <w:p>
      <w:pPr>
        <w:spacing w:after="0" w:line="15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Pension plan contributions include required statutory minimum amounts and, in some years, additional discretionary amounts. In 2023, the Company contributed $2 million to these pension plans. Pension contributions for the full year of 2024 are estimated to be $2 million. The Company may elect at any time to make additional voluntary contributions.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pension benefit payments are paid from the assets held in the plan trust, while nonqualified pension and other benefit payments are paid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Anticipated benefit payments by year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560" w:type="dxa"/>
            <w:vAlign w:val="bottom"/>
          </w:tcPr>
          <w:p>
            <w:pPr>
              <w:ind w:left="49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87"/>
        </w:trPr>
        <w:tc>
          <w:tcPr>
            <w:tcW w:w="3320" w:type="dxa"/>
            <w:vAlign w:val="bottom"/>
            <w:tcBorders>
              <w:bottom w:val="single" w:sz="8" w:color="auto"/>
            </w:tcBorders>
            <w:vMerge w:val="continue"/>
          </w:tcPr>
          <w:p>
            <w:pPr>
              <w:spacing w:after="0"/>
              <w:rPr>
                <w:sz w:val="16"/>
                <w:szCs w:val="16"/>
                <w:color w:val="auto"/>
              </w:rPr>
            </w:pPr>
          </w:p>
        </w:tc>
        <w:tc>
          <w:tcPr>
            <w:tcW w:w="5560" w:type="dxa"/>
            <w:vAlign w:val="bottom"/>
            <w:tcBorders>
              <w:bottom w:val="single" w:sz="8" w:color="auto"/>
            </w:tcBorders>
          </w:tcPr>
          <w:p>
            <w:pPr>
              <w:ind w:left="49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5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3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6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6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 five years</w:t>
            </w:r>
          </w:p>
        </w:tc>
        <w:tc>
          <w:tcPr>
            <w:tcW w:w="556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56"/>
        </w:trPr>
        <w:tc>
          <w:tcPr>
            <w:tcW w:w="3320" w:type="dxa"/>
            <w:vAlign w:val="bottom"/>
          </w:tcPr>
          <w:p>
            <w:pPr>
              <w:spacing w:after="0"/>
              <w:rPr>
                <w:sz w:val="24"/>
                <w:szCs w:val="24"/>
                <w:color w:val="auto"/>
              </w:rPr>
            </w:pPr>
          </w:p>
        </w:tc>
        <w:tc>
          <w:tcPr>
            <w:tcW w:w="5560" w:type="dxa"/>
            <w:vAlign w:val="bottom"/>
          </w:tcPr>
          <w:p>
            <w:pPr>
              <w:jc w:val="right"/>
              <w:ind w:right="3079"/>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33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 — UNITED KINGDOM</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a frozen defined benefit pension plan in the United Kingdom. In July 2023, in accordance with applicable UK pension regulations, Trustees of the UK pension plan entered into an agreement with an insurer for the bulk annuity purchase of the plan, covering 100% of the plan’s members. The insurer was selected after careful consideration of offers received from multiple independent insurers. This agreement, or buy-in, resulted in an exchange of plan assets for an annuity that covers the plan’s future projected benefit obligations. The initial value of the asset associated with this contract is equal to the premium paid to the insurer to secure the insurance policy. In accordance with US GAAP, the Company has set the value of its liability obligations covered by the annuity buy-in contract to be equal to the fair value of the buy-in contract. This has resulted in a reduction of the net asset position of the UK pension plan and a corresponding charge of $44 million to other comprehensive income during the third quarter of 2023. The Company anticipates the buyout of the plan and transfer of future benefit obligations of plan participants to be completed with existing plan funds in 2025. Accordingly, the Company does not expect the transaction to result in material cash inflows or outflows. At the completion of the buy-out, the Company will remove the assets and liabilities of the UK pension plan from its Consolidated Balance Sheet and a final non-cash plan settlement loss will be included in net periodic pension cost.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17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the projected benefit obligation, the fair value of plan assets and the funded status of the plan to amounts recognized on the Company’s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projected benefit obligation:</w:t>
            </w:r>
          </w:p>
        </w:tc>
        <w:tc>
          <w:tcPr>
            <w:tcW w:w="3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 at beginning of period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(7 )</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Actuarial loss/(gain)</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Obligation at end of period</w:t>
            </w:r>
          </w:p>
        </w:tc>
        <w:tc>
          <w:tcPr>
            <w:tcW w:w="3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plan assets:</w:t>
            </w: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189</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8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(24 )</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 contributions</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(7 )</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w:t>
            </w:r>
          </w:p>
        </w:tc>
        <w:tc>
          <w:tcPr>
            <w:tcW w:w="3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 recognized at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r>
    </w:tbl>
    <w:p>
      <w:pPr>
        <w:spacing w:after="0" w:line="14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There was no net funded amount as of December 30, 2023. The net funded amount as of December 31, 2022 is classified as a non-current asset in the caption Other assets in the Consolidated Balance Sheets.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are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(8 )</w:t>
            </w:r>
          </w:p>
        </w:tc>
        <w:tc>
          <w:tcPr>
            <w:tcW w:w="42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 gain</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(2 )</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540" w:right="1700" w:hanging="5525"/>
        <w:spacing w:after="0" w:line="531" w:lineRule="auto"/>
        <w:rPr>
          <w:sz w:val="20"/>
          <w:szCs w:val="20"/>
          <w:color w:val="auto"/>
        </w:rPr>
      </w:pPr>
      <w:r>
        <w:rPr>
          <w:rFonts w:ascii="Times New Roman" w:cs="Times New Roman" w:eastAsia="Times New Roman" w:hAnsi="Times New Roman"/>
          <w:sz w:val="18"/>
          <w:szCs w:val="18"/>
          <w:color w:val="auto"/>
        </w:rPr>
        <w:t>Included in Accumulated other comprehensive loss was deferred loss of $76 million and $25 million in 2023 and 2022, respectively.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used in calculating the funded status and net periodic benefit included: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2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6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3.20 %</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3.47 %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3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4.00 %</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4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16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2.90 %</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Following the buy-in, the 2023 long-term rate of return on assets assumption is based on the liability discount rate and adjusted for expense assumptions of the plan. The discount rate used represents the annualized yield based on a cash flow matched methodology with reference to UK government securities of appropriate duration with regards to the UK pension plan’s liabilities. The 2022 and 2021 long-term rate of return on assets assumptions have been derived based on long-term UK government fixed income yields, having regard to the proportion of assets in each asset class.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Plan assets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28"/>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contract</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140" w:type="dxa"/>
            <w:vAlign w:val="bottom"/>
          </w:tcPr>
          <w:p>
            <w:pPr>
              <w:spacing w:after="0"/>
              <w:rPr>
                <w:sz w:val="22"/>
                <w:szCs w:val="22"/>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7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Trustee committee, which comprises representatives appointed by the Company and members of this plan, is responsible for establishing and overseeing the implementation of the investment policy for this plan. Prior to the buy-in, the plan’s investment policy and strategy were to ensure assets were available to meet the obligations to the beneficiaries and to adjust plan contributions accordingly. This investment policy and strategy aimed to reduce the level of risk in the plan over the long term, while retaining a return above that of the growth of liabilities. Until the buy-in, the asset allocation was in accordance with the target investment strategy and asset-class allocations within the ranges were continually evaluated based on expectations for future returns, the funded position of the plan and market risks. Following the buy-in, the UK pension plan’s investment strategy is to hold the annuity contract.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pension plan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Fair Value Measurements 2023</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20" w:type="dxa"/>
            <w:vAlign w:val="bottom"/>
          </w:tcPr>
          <w:p>
            <w:pPr>
              <w:spacing w:after="0"/>
              <w:rPr>
                <w:sz w:val="12"/>
                <w:szCs w:val="12"/>
                <w:color w:val="auto"/>
              </w:rPr>
            </w:pPr>
          </w:p>
        </w:tc>
        <w:tc>
          <w:tcPr>
            <w:tcW w:w="1060" w:type="dxa"/>
            <w:vAlign w:val="bottom"/>
            <w:vMerge w:val="restart"/>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20" w:type="dxa"/>
            <w:vAlign w:val="bottom"/>
          </w:tcPr>
          <w:p>
            <w:pPr>
              <w:spacing w:after="0"/>
              <w:rPr>
                <w:sz w:val="12"/>
                <w:szCs w:val="12"/>
                <w:color w:val="auto"/>
              </w:rPr>
            </w:pPr>
          </w:p>
        </w:tc>
        <w:tc>
          <w:tcPr>
            <w:tcW w:w="106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3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2"/>
                <w:szCs w:val="12"/>
                <w:color w:val="auto"/>
              </w:rPr>
            </w:pPr>
          </w:p>
        </w:tc>
        <w:tc>
          <w:tcPr>
            <w:tcW w:w="110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2"/>
                <w:szCs w:val="12"/>
                <w:color w:val="auto"/>
              </w:rPr>
            </w:pPr>
          </w:p>
        </w:tc>
        <w:tc>
          <w:tcPr>
            <w:tcW w:w="1060" w:type="dxa"/>
            <w:vAlign w:val="bottom"/>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1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Insurance contract</w:t>
            </w:r>
          </w:p>
        </w:tc>
        <w:tc>
          <w:tcPr>
            <w:tcW w:w="236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80"/>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100" w:type="dxa"/>
            <w:vAlign w:val="bottom"/>
            <w:tcBorders>
              <w:bottom w:val="single" w:sz="8" w:color="auto"/>
            </w:tcBorders>
            <w:shd w:val="clear" w:color="auto" w:fill="CFF0FC"/>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628"/>
        </w:trPr>
        <w:tc>
          <w:tcPr>
            <w:tcW w:w="34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4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Fair Value Measurements 2022</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2"/>
                <w:szCs w:val="12"/>
                <w:color w:val="auto"/>
              </w:rPr>
            </w:pPr>
          </w:p>
        </w:tc>
        <w:tc>
          <w:tcPr>
            <w:tcW w:w="104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2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2"/>
                <w:szCs w:val="12"/>
                <w:color w:val="auto"/>
              </w:rPr>
            </w:pPr>
          </w:p>
        </w:tc>
        <w:tc>
          <w:tcPr>
            <w:tcW w:w="104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60" w:type="dxa"/>
            <w:vAlign w:val="bottom"/>
          </w:tcPr>
          <w:p>
            <w:pPr>
              <w:spacing w:after="0"/>
              <w:rPr>
                <w:sz w:val="12"/>
                <w:szCs w:val="12"/>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2"/>
                <w:szCs w:val="12"/>
                <w:color w:val="auto"/>
              </w:rPr>
            </w:pPr>
          </w:p>
        </w:tc>
        <w:tc>
          <w:tcPr>
            <w:tcW w:w="104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20" w:type="dxa"/>
            <w:vAlign w:val="bottom"/>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Fixed-income securities</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UK debt funds</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Liability term matching debt funds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yield debt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fixed-income securities</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2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980" w:type="dxa"/>
            <w:vAlign w:val="bottom"/>
            <w:tcBorders>
              <w:bottom w:val="single" w:sz="8" w:color="auto"/>
            </w:tcBorders>
            <w:gridSpan w:val="5"/>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reconciliation of the change in fair value of the pension plan assets calculated based on Level 3 inputs: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165</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30, 2023</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165</w:t>
            </w:r>
          </w:p>
        </w:tc>
        <w:tc>
          <w:tcPr>
            <w:tcW w:w="0" w:type="dxa"/>
            <w:vAlign w:val="bottom"/>
          </w:tcPr>
          <w:p>
            <w:pPr>
              <w:spacing w:after="0"/>
              <w:rPr>
                <w:sz w:val="1"/>
                <w:szCs w:val="1"/>
                <w:color w:val="auto"/>
              </w:rPr>
            </w:pPr>
          </w:p>
        </w:tc>
      </w:tr>
      <w:tr>
        <w:trPr>
          <w:trHeight w:val="35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Anticipated benefit payments for the UK pension plan, at 2023 year-end exchange rates, are as follows: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Next five years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also sponsors defined contribution plans for most of its employees. Eligible Company employees may participate in the Office Depot, Inc. Retirement Savings Plans (a plan for U.S. employees and a plan for Puerto Rico employees). All of the Company’s defined contribution plans (the “401(k) Plans”) allow eligible employees to contribute a percentage of their salary, commissions and bonuses in accordance with plan limitations and provisions of Section 401(k) of the Internal Revenue Code and the Company makes partial matching contributions to each plan subject to the limits of the respective 401(k) Plans. Matching contributions are invested in the same manner as the participants’ pre-tax contributions. The 401(k) Plans also allow for a discretionary matching contribution in addition to the normal match contributions if approved by the Board of Directors.</w:t>
      </w:r>
    </w:p>
    <w:p>
      <w:pPr>
        <w:spacing w:after="0" w:line="13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ODP and OfficeMax previously sponsored non-qualified deferred compensation plans that allowed certain employees, who were limited in the amount they could contribute to their respective 401(k) plans, to defer a portion of their earnings and receive a Company matching amount. Both plans are closed to new contributions.</w:t>
      </w:r>
    </w:p>
    <w:p>
      <w:pPr>
        <w:spacing w:after="0" w:line="12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Compensation expense for the Company’s contributions to these retirement savings plans was $16 million in 2023, $17 million in 2022 and $16 million in 2021.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14.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accordance with GAAP, certain assets and liabilities are required to be recorded at fair value on a recurring basis. The Company’s assets and liabilities that are adjusted to fair value on a recurring basis are money market funds that qualify as cash equivalents, and derivative financial instruments, which may be entered into to mitigate risks associated with changes in foreign currency exchange rates, fuel and other commodity prices and interest rates. The Company did not have derivative financial instruments in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the Company records certain assets and liabilities at fair value 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nonrecurring basis as required by GAAP. Generally, assets are recorded at fair value on a nonrecurring basis as a result of impairment charges.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recognized asset impairment charges of $85 million, $14 million and $20 million in 2023, 2022 and 2021, respectively. Of the asset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charges in 2023, $68 million was related to impairment of goodwill in the Varis division and $12 million was related to impairment of operating lease ROU</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associated with the Company’s retail store locations. The remainder was related to impairment of fixed assets at these retail store locations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impairments. Of the asset impairment charges in 2022, $12 million was related to impairment of operating lease ROU assets associated with the Company’s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store locations, and the remainder was related to impairment of fixed assets at these retail store locations. Of the asset impairment charges in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was related to impairment of operating lease ROU assets associated with the Company’s retail store locations, and the remainder was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fixed assets at these retail store locations. All impairment charges discussed in the sections below are presented in Asset impairments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regularly reviews retail store assets for impairment indicators at the individual store level, as this represents the lowest level of identifiable cash flows. When indicators of impairment are present, a recoverability analysis is performed which considers the estimated undiscounted cash flows over the retail store’s remaining life and uses input from retail operations and accounting and finance personnel. These inputs include management’s best estimates of retail store-level sales, gross margins, direct expenses, exercise of future lease renewal options when reasonably certain to be exercised, and resulting cash flows that can naturally include judgments about how current initiatives will impact future performance. The assumptions used within the recoverability analysis for the retail stores were updated to consider current quarter retail store operational results and formal plans for future retail store closures as part of the Company’s restructuring programs, including the probability of closure at the retail store level. While it is generally understood that closures will approximate the store’s lease termination date, it is possible that changes in store performance or other conditions could result in future changes in assumptions utilized. These assumptions reflected declining sales over the forecast period, and gross margin and operating cost assumptions that are consistent with recent actual results and consider plans for future initiatives.</w:t>
      </w:r>
    </w:p>
    <w:p>
      <w:pPr>
        <w:spacing w:after="0" w:line="1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the undiscounted cash flows of a retail store cannot support the carrying amount of its assets, the assets are impaired if necessary and written down to estimated fair value. The fair value of retail store assets is determined using a discounted cash flow analysis which uses Level 2 unobservable inputs that are corroborated by market data such as independent real estate valuation opinions. Specifically, the analysis uses assumptions of potential rental rates for each retail store location which are based on market data for comparable locations. These estimated cash flows used in the 2023 impairment calculation were discounted at a weighted average discount rate of 8%.</w:t>
      </w:r>
    </w:p>
    <w:p>
      <w:pPr>
        <w:spacing w:after="0" w:line="128"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The Company will continue to evaluate initiatives to improve performance and lower operating costs. There are uncertainties regarding the impact of supply chain and macroeconomic conditions on the future results of operations, including the forecast period used in the recoverability analysis. To the extent that forward-looking sales and operating assumptions are not achieved and are subsequently reduced, additional impairment charges may result. However, at the end of 2023, the impairment recognized reflects the Company’s best estimate of future performance.</w:t>
      </w:r>
    </w:p>
    <w:p>
      <w:pPr>
        <w:spacing w:after="0" w:line="12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In addition to its retail store assets, the Company also regularly evaluates whether there are impairment indicators associated with its other long-lived assets. The Company did not identify any impairment indicators for these long-lived assets as of December 30, 2023 and as a result there were no associated impairment charges. Refer to Note 8 for additional information about the impairment charges related to goodwill and other intangible assets.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17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fair values of cash and cash equivalents, receivables, trade accounts payable and accrued expenses and other current liabilities approximate their carrying amounts because of their short-term nature.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financial instruments at the balance sheet dates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jc w:val="center"/>
              <w:ind w:left="222"/>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jc w:val="right"/>
              <w:ind w:right="47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320" w:type="dxa"/>
            <w:vAlign w:val="bottom"/>
          </w:tcPr>
          <w:p>
            <w:pPr>
              <w:spacing w:after="0"/>
              <w:rPr>
                <w:sz w:val="11"/>
                <w:szCs w:val="11"/>
                <w:color w:val="auto"/>
              </w:rPr>
            </w:pPr>
          </w:p>
        </w:tc>
        <w:tc>
          <w:tcPr>
            <w:tcW w:w="1060" w:type="dxa"/>
            <w:vAlign w:val="bottom"/>
          </w:tcPr>
          <w:p>
            <w:pPr>
              <w:jc w:val="right"/>
              <w:ind w:right="31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Pr>
          <w:p>
            <w:pPr>
              <w:spacing w:after="0"/>
              <w:rPr>
                <w:sz w:val="11"/>
                <w:szCs w:val="11"/>
                <w:color w:val="auto"/>
              </w:rPr>
            </w:pPr>
          </w:p>
        </w:tc>
        <w:tc>
          <w:tcPr>
            <w:tcW w:w="920" w:type="dxa"/>
            <w:vAlign w:val="bottom"/>
          </w:tcPr>
          <w:p>
            <w:pPr>
              <w:jc w:val="right"/>
              <w:ind w:right="47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7"/>
        </w:trPr>
        <w:tc>
          <w:tcPr>
            <w:tcW w:w="57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8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138</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New Facilities loans under the Third Amended Credit</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Agreement, due 2025</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1"/>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 bonds, due in varying amounts periodically</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through 2029</w:t>
            </w:r>
          </w:p>
        </w:tc>
        <w:tc>
          <w:tcPr>
            <w:tcW w:w="880" w:type="dxa"/>
            <w:vAlign w:val="bottom"/>
          </w:tcPr>
          <w:p>
            <w:pPr>
              <w:spacing w:after="0"/>
              <w:rPr>
                <w:sz w:val="20"/>
                <w:szCs w:val="20"/>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8"/>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American &amp; Foreign Power Company, Inc. 5% debentures,</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due 2030</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w:t>
      </w:r>
    </w:p>
    <w:p>
      <w:pPr>
        <w:spacing w:after="0" w:line="167" w:lineRule="exact"/>
        <w:rPr>
          <w:sz w:val="20"/>
          <w:szCs w:val="20"/>
          <w:color w:val="auto"/>
        </w:rPr>
      </w:pPr>
    </w:p>
    <w:p>
      <w:pPr>
        <w:ind w:left="900" w:right="100" w:hanging="518"/>
        <w:spacing w:after="0" w:line="26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Company-owned life insurance: </w:t>
      </w:r>
      <w:r>
        <w:rPr>
          <w:rFonts w:ascii="Times New Roman" w:cs="Times New Roman" w:eastAsia="Times New Roman" w:hAnsi="Times New Roman"/>
          <w:sz w:val="18"/>
          <w:szCs w:val="18"/>
          <w:color w:val="auto"/>
        </w:rPr>
        <w:t>In connection with the 2013 OfficeMax merger, the Company acquired company-owned life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on certain former employees. The fair value of the company-owned life insurance policies is derived using determinable net cash surrender value, which is the cash surrender value less any outstanding loans (Level 2 measure). The carrying amounts of the company-owned life insurance policies are included in Other assets in the Consolidated Balance Sheets.</w:t>
      </w:r>
    </w:p>
    <w:p>
      <w:pPr>
        <w:spacing w:after="0" w:line="120" w:lineRule="exact"/>
        <w:rPr>
          <w:rFonts w:ascii="Times New Roman" w:cs="Times New Roman" w:eastAsia="Times New Roman" w:hAnsi="Times New Roman"/>
          <w:sz w:val="18"/>
          <w:szCs w:val="18"/>
          <w:color w:val="auto"/>
        </w:rPr>
      </w:pPr>
    </w:p>
    <w:p>
      <w:pPr>
        <w:ind w:left="900" w:hanging="518"/>
        <w:spacing w:after="0" w:line="259"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Long-term debt, for which there were no transactions on the measurement date, was valued based on quoted market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near the measurement date when available or by discounting the future cash flows of each instrument using rates based on the most recently observable trade or using rates currently offered to the Company for similar debt instruments of comparable maturities (Level 2 measure). The carrying amount of the New Facilities loans under the Third Amended Credit Agreement approximates fair value because the interest rates vary with market interest rates. Refer to Note 9 for additional information about the Third Amended Credit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15.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Indemnification obligations may arise from the Asset Purchase Agreement between OfficeMax Incorporated, OfficeMax Southern Company, Minidoka Paper Company, Forest Products Holdings, L.L.C. and Boise Land &amp; Timber Corp. The Company has agreed to provide indemnification with respect to a variety of obligations. These indemnification obligations are subject, in some cases, to survival periods, deductibles and caps. At December 30, 2023, the Company is not aware of any material liabilities arising from these indemnifications. Additionally, the Company retains certain guarantees in place with respect to the liabilities or obligations of the European Business and remains contingently liable for these obligations. However, the Purchaser must indemnify and hold the Company harmless for any losses in connection with these guarantees. The Company currently does not believe it is probable that it would be required to perform under any of these guarantees or any of the underlying obligations.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is involved in litigation arising in the normal course of business. While, from time to time, claims are asserted that make demands for a large sum of money (including, from time to time, actions which are asserted to be maintainable as class action suits), the Company does not believe that contingent liabilities related to these matters (including the matters discussed below), either individually or in the aggregate, will materially affect the Company’s financial position, results of operations or cash flows.</w:t>
      </w:r>
    </w:p>
    <w:p>
      <w:pPr>
        <w:spacing w:after="0" w:line="12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business, sales to and transactions with government customers may be subject to lawsuits, investigations, audits and review by governmental authorities and regulatory agencies, with which the Company cooperates. Many of these lawsuits, investigations, audits and reviews are resolved without material impact to the Company. While claims in these matters may at times assert large demands, the Company does not believe that contingent liabilities related to these matters, either individually or in the aggregate, will materially affect its financial position, results of operations or cash flows.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foregoing, OfficeMax is named a defendant in a number of lawsuits, claims, and proceedings arising out of the operation of certain paper and forest products assets prior to those assets being sold in 2004, for which OfficeMax agreed to retain responsibility. Also, as part of that sale, OfficeMax agreed to retain responsibility for all pending or threatened proceedings and future proceedings alleging asbestos-related injuries arising out of the operation of the paper and forest products assets prior to the closing of the sale. The Company has made provision for losses with respect to the pending proceedings. Additionally, as of December 30, 2023, the Company has made provision for environmental liabilities with respect to certain sites where hazardous substances or other contaminants are or may be located. For these liabilities, the Company’s estimated range of reasonably possible losses was approximately $15 million to $25 million. The Company regularly monitors its estimated exposure to these liabilities. As additional information becomes known, these estimates may change; however, the Company does not believe any of these OfficeMax retained proceedings are material to the Company’s financial position, results of operations or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16.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sold its CompuCom division on December 31, 2021, through a transaction that was structured and accounted for as an equity sale. The disposition represented a strategic shift that had a major impact on the Company’s operations and financial statements, and as a result the operating results and cash flows related to the CompuCom Division are presented as discontinued operations. The related Securities Purchase Agreement (“SPA”) provided for consideration consisting of a cash purchase price equal to $125 million (subject to customary adjustments, including for cash, debt and working capital), an interest-bearing promissory note in the amount of $55 million, and a holding fee (“earn-out”) provision providing for payments of up to $125 million in certain circumstances. The promissory note accrues interest at six percent per annum, payable on a quarterly basis in cash or in-kind, and is due in full on June 30, 2027. Under the earn-out provision, if the purchaser receives dividends or sale proceeds from the CompuCom business equal to (i) three times its initial capital investment in the CompuCom business plus (ii) 15% per annum on subsequent capital investments, the Company will be entitled to 50% of any subsequent dividends or sale proceeds up to and until the Company has received an aggregate of $125 million. The Company also provided certain transitional services to the purchaser for a period of three to twelve months under a separate agreement after closing. The SPA contains customary warranties of the Company and the purchaser.</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and the purchaser settled on the cash, debt and working capital adjustments in 2022, which resulted in the total cash purchase price of $104 million. At the closing date of the transaction, on December 31, 2021, the Company had previously received $95 million from the purchaser. Of the additional $9 million to be received to settle the total cash purchase price, $5 million was received in the first quarter of 2023, and the promissory note was amended in February 2023 to include the remaining $4 million, bringing its principal balance to $59 million. The earn-out provision was identified to be a derivative in accordance with ASC 815, and its fair value was determined using a Monte Carlo simulation as $9 million. The promissory note and the earn-out are non-current receivables as of December 30, 2023.</w:t>
      </w:r>
    </w:p>
    <w:p>
      <w:pPr>
        <w:spacing w:after="0" w:line="10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Company did not have any financial results related to discontinued operations in its Consolidated Statements of Operations in 2023. In 2022, the Company had loss on disposal of $12 million, which included $21 million of loss on sale based on the final total cash price, and $2 million of additional third-party professional fees incurred in connection with the sale. These losses were partially offset by $10 million of insurance proceeds in 2022 for the malware incident that occurred in 2021, and an income tax benefit on discontinued operations of $1 million.</w:t>
      </w:r>
    </w:p>
    <w:p>
      <w:pPr>
        <w:spacing w:after="0" w:line="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following table represents a reconciliation of the major components of Discontinued operations, net of tax presented in the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Major components of discontinued operations before income taxes: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0"/>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802</w:t>
            </w:r>
          </w:p>
        </w:tc>
      </w:tr>
      <w:tr>
        <w:trPr>
          <w:trHeight w:val="232"/>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goods and occupancy costs</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645</w:t>
            </w:r>
          </w:p>
        </w:tc>
      </w:tr>
      <w:tr>
        <w:trPr>
          <w:trHeight w:val="220"/>
        </w:trPr>
        <w:tc>
          <w:tcPr>
            <w:tcW w:w="6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w:t>
            </w:r>
          </w:p>
        </w:tc>
      </w:tr>
      <w:tr>
        <w:trPr>
          <w:trHeight w:val="23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152</w:t>
            </w:r>
          </w:p>
        </w:tc>
      </w:tr>
      <w:tr>
        <w:trPr>
          <w:trHeight w:val="220"/>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impairments</w:t>
            </w:r>
          </w:p>
        </w:tc>
        <w:tc>
          <w:tcPr>
            <w:tcW w:w="32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252</w:t>
            </w:r>
          </w:p>
        </w:tc>
      </w:tr>
      <w:tr>
        <w:trPr>
          <w:trHeight w:val="232"/>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Merger, restructuring and other operating expenses, net</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0"/>
        </w:trPr>
        <w:tc>
          <w:tcPr>
            <w:tcW w:w="6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32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(245 )</w:t>
            </w:r>
          </w:p>
        </w:tc>
      </w:tr>
      <w:tr>
        <w:trPr>
          <w:trHeight w:val="232"/>
        </w:trPr>
        <w:tc>
          <w:tcPr>
            <w:tcW w:w="66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20"/>
        </w:trPr>
        <w:tc>
          <w:tcPr>
            <w:tcW w:w="6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from major components of discontinued operations before income taxes</w:t>
            </w:r>
          </w:p>
        </w:tc>
        <w:tc>
          <w:tcPr>
            <w:tcW w:w="32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(246 )</w:t>
            </w:r>
          </w:p>
        </w:tc>
      </w:tr>
      <w:tr>
        <w:trPr>
          <w:trHeight w:val="232"/>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from classification to held for sale</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(170 )</w:t>
            </w:r>
          </w:p>
        </w:tc>
      </w:tr>
      <w:tr>
        <w:trPr>
          <w:trHeight w:val="220"/>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Loss from discontinued operations before income taxes</w:t>
            </w:r>
          </w:p>
        </w:tc>
        <w:tc>
          <w:tcPr>
            <w:tcW w:w="32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(416 )</w:t>
            </w:r>
          </w:p>
        </w:tc>
      </w:tr>
      <w:tr>
        <w:trPr>
          <w:trHeight w:val="232"/>
        </w:trPr>
        <w:tc>
          <w:tcPr>
            <w:tcW w:w="66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Income tax benefit</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23"/>
        </w:trPr>
        <w:tc>
          <w:tcPr>
            <w:tcW w:w="66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Discontinued operations, net of tax</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-1668780</wp:posOffset>
            </wp:positionV>
            <wp:extent cx="1028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-1668780</wp:posOffset>
            </wp:positionV>
            <wp:extent cx="939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-1078230</wp:posOffset>
            </wp:positionV>
            <wp:extent cx="1028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-1078230</wp:posOffset>
            </wp:positionV>
            <wp:extent cx="939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-778510</wp:posOffset>
            </wp:positionV>
            <wp:extent cx="1028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-778510</wp:posOffset>
            </wp:positionV>
            <wp:extent cx="939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-478790</wp:posOffset>
            </wp:positionV>
            <wp:extent cx="1028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-478790</wp:posOffset>
            </wp:positionV>
            <wp:extent cx="939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-179070</wp:posOffset>
            </wp:positionV>
            <wp:extent cx="1028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-179070</wp:posOffset>
            </wp:positionV>
            <wp:extent cx="939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17.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4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3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Year Ended December 30, 2023*</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2,108</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2,009</w:t>
            </w:r>
          </w:p>
        </w:tc>
        <w:tc>
          <w:tcPr>
            <w:tcW w:w="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1,806</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481</w:t>
            </w:r>
          </w:p>
        </w:tc>
        <w:tc>
          <w:tcPr>
            <w:tcW w:w="5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474</w:t>
            </w: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57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14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57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Basic earnings (loss) per share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1.83</w:t>
            </w:r>
          </w:p>
        </w:tc>
        <w:tc>
          <w:tcPr>
            <w:tcW w:w="54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38"/>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40"/>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basic earnings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1.83</w:t>
            </w:r>
          </w:p>
        </w:tc>
        <w:tc>
          <w:tcPr>
            <w:tcW w:w="54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43"/>
        </w:trPr>
        <w:tc>
          <w:tcPr>
            <w:tcW w:w="57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Diluted earnings (loss) per share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38"/>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diluted earnings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794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Due to rounding, the sum of the quarterly amounts may not equal the reported amounts for the year.</w:t>
      </w:r>
    </w:p>
    <w:p>
      <w:pPr>
        <w:spacing w:after="0" w:line="126" w:lineRule="exact"/>
        <w:rPr>
          <w:sz w:val="20"/>
          <w:szCs w:val="20"/>
          <w:color w:val="auto"/>
        </w:rPr>
      </w:pPr>
    </w:p>
    <w:p>
      <w:pPr>
        <w:ind w:left="520" w:right="220" w:hanging="512"/>
        <w:spacing w:after="0" w:line="297" w:lineRule="auto"/>
        <w:tabs>
          <w:tab w:leader="none" w:pos="52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Includes Merger, restructuring and other operating expenses, net totaling $1 million, $1 million, and $2 million in the second, third and fourth quarters of 2023</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respectively. The first, second, third and fourth quarters of 2023 also include asset impairments of $4 million, $6 million, $3 million and $72 million, respectively.</w:t>
      </w:r>
    </w:p>
    <w:p>
      <w:pPr>
        <w:spacing w:after="0" w:line="57" w:lineRule="exact"/>
        <w:rPr>
          <w:rFonts w:ascii="Times New Roman" w:cs="Times New Roman" w:eastAsia="Times New Roman" w:hAnsi="Times New Roman"/>
          <w:sz w:val="10"/>
          <w:szCs w:val="10"/>
          <w:color w:val="auto"/>
        </w:rPr>
      </w:pPr>
    </w:p>
    <w:p>
      <w:pPr>
        <w:ind w:left="520" w:right="280" w:hanging="512"/>
        <w:spacing w:after="0" w:line="297" w:lineRule="auto"/>
        <w:tabs>
          <w:tab w:leader="none" w:pos="52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The sum of the quarterly earnings (loss) per share does not equal the annual earnings (loss) per share due to differences in quarterly and annual weighted-average shares outstanding.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4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3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Year Ended December 31, 2022*</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2,178</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2,172</w:t>
            </w:r>
          </w:p>
        </w:tc>
        <w:tc>
          <w:tcPr>
            <w:tcW w:w="5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2,106</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484</w:t>
            </w:r>
          </w:p>
        </w:tc>
        <w:tc>
          <w:tcPr>
            <w:tcW w:w="5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486</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57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w:t>
            </w:r>
          </w:p>
        </w:tc>
        <w:tc>
          <w:tcPr>
            <w:tcW w:w="5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14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7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Basic earnings (loss) per share </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1.14</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0.79</w:t>
            </w:r>
          </w:p>
        </w:tc>
      </w:tr>
      <w:tr>
        <w:trPr>
          <w:trHeight w:val="238"/>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(0.01 )</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40"/>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basic earnings (loss)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1.14</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50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r>
      <w:tr>
        <w:trPr>
          <w:trHeight w:val="243"/>
        </w:trPr>
        <w:tc>
          <w:tcPr>
            <w:tcW w:w="57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Diluted earnings (loss) per share </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r>
      <w:tr>
        <w:trPr>
          <w:trHeight w:val="238"/>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(0.01 )</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(0.40 )</w:t>
            </w:r>
          </w:p>
        </w:tc>
      </w:tr>
      <w:tr>
        <w:trPr>
          <w:trHeight w:val="240"/>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diluted earnings (loss)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c>
          <w:tcPr>
            <w:tcW w:w="50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794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Due to rounding, the sum of the quarterly amounts may not equal the reported amounts for the year.</w:t>
      </w:r>
    </w:p>
    <w:p>
      <w:pPr>
        <w:spacing w:after="0" w:line="126" w:lineRule="exact"/>
        <w:rPr>
          <w:sz w:val="20"/>
          <w:szCs w:val="20"/>
          <w:color w:val="auto"/>
        </w:rPr>
      </w:pPr>
    </w:p>
    <w:p>
      <w:pPr>
        <w:ind w:left="520" w:right="20" w:hanging="512"/>
        <w:spacing w:after="0" w:line="280" w:lineRule="auto"/>
        <w:tabs>
          <w:tab w:leader="none" w:pos="52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Includes Merger, restructuring and other operating expenses, net totaling $10 million, $23 million, $8 million and ($3) million in the first, second, third and fourth quarters of 2022, respectively. The first, second, third and fourth quarters of 2022 also include asset impairments of $2 million, $3 million, $3 million and $6 million, respectively.</w:t>
      </w:r>
    </w:p>
    <w:p>
      <w:pPr>
        <w:spacing w:after="0" w:line="70" w:lineRule="exact"/>
        <w:rPr>
          <w:rFonts w:ascii="Times New Roman" w:cs="Times New Roman" w:eastAsia="Times New Roman" w:hAnsi="Times New Roman"/>
          <w:sz w:val="10"/>
          <w:szCs w:val="10"/>
          <w:color w:val="auto"/>
        </w:rPr>
      </w:pPr>
    </w:p>
    <w:p>
      <w:pPr>
        <w:ind w:left="520" w:right="280" w:hanging="512"/>
        <w:spacing w:after="0" w:line="297" w:lineRule="auto"/>
        <w:tabs>
          <w:tab w:leader="none" w:pos="52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The sum of the quarterly earnings (loss) per share does not equal the annual earnings (loss) per share due to differences in quarterly and annual weighted-average shares outstanding.</w:t>
      </w:r>
    </w:p>
    <w:p>
      <w:pPr>
        <w:sectPr>
          <w:pgSz w:w="11900" w:h="16838" w:orient="portrait"/>
          <w:cols w:equalWidth="0" w:num="1">
            <w:col w:w="11240"/>
          </w:cols>
          <w:pgMar w:left="320" w:top="768"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10-K CROSS-REFERENCE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54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1"/>
              </w:rPr>
              <w:t>PART I</w:t>
            </w:r>
          </w:p>
        </w:tc>
        <w:tc>
          <w:tcPr>
            <w:tcW w:w="14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6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9"/>
                <w:szCs w:val="19"/>
                <w:color w:val="auto"/>
              </w:rPr>
            </w:pPr>
          </w:p>
        </w:tc>
        <w:tc>
          <w:tcPr>
            <w:tcW w:w="8280" w:type="dxa"/>
            <w:vAlign w:val="bottom"/>
            <w:gridSpan w:val="19"/>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12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1A. Risk Factors</w:t>
            </w:r>
          </w:p>
        </w:tc>
        <w:tc>
          <w:tcPr>
            <w:tcW w:w="20" w:type="dxa"/>
            <w:vAlign w:val="bottom"/>
            <w:tcBorders>
              <w:bottom w:val="single" w:sz="8" w:color="0000EE"/>
            </w:tcBorders>
          </w:tcPr>
          <w:p>
            <w:pPr>
              <w:spacing w:after="0"/>
              <w:rPr>
                <w:sz w:val="19"/>
                <w:szCs w:val="19"/>
                <w:color w:val="auto"/>
              </w:rPr>
            </w:pPr>
          </w:p>
        </w:tc>
        <w:tc>
          <w:tcPr>
            <w:tcW w:w="7880" w:type="dxa"/>
            <w:vAlign w:val="bottom"/>
            <w:gridSpan w:val="16"/>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320" w:type="dxa"/>
            <w:vAlign w:val="bottom"/>
          </w:tcPr>
          <w:p>
            <w:pPr>
              <w:spacing w:after="0"/>
              <w:rPr>
                <w:sz w:val="22"/>
                <w:szCs w:val="22"/>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w:t>
            </w:r>
          </w:p>
        </w:tc>
        <w:tc>
          <w:tcPr>
            <w:tcW w:w="914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auto"/>
              </w:rPr>
              <w:t>1B. Unresolved Staff Comments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2"/>
        </w:trPr>
        <w:tc>
          <w:tcPr>
            <w:tcW w:w="320" w:type="dxa"/>
            <w:vAlign w:val="bottom"/>
          </w:tcPr>
          <w:p>
            <w:pPr>
              <w:spacing w:after="0"/>
              <w:rPr>
                <w:sz w:val="17"/>
                <w:szCs w:val="17"/>
                <w:color w:val="auto"/>
              </w:rPr>
            </w:pPr>
          </w:p>
        </w:tc>
        <w:tc>
          <w:tcPr>
            <w:tcW w:w="36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w:t>
            </w:r>
          </w:p>
        </w:tc>
        <w:tc>
          <w:tcPr>
            <w:tcW w:w="9140" w:type="dxa"/>
            <w:vAlign w:val="bottom"/>
            <w:gridSpan w:val="26"/>
          </w:tcPr>
          <w:p>
            <w:pPr>
              <w:ind w:left="20"/>
              <w:spacing w:after="0" w:line="202" w:lineRule="exact"/>
              <w:rPr>
                <w:sz w:val="20"/>
                <w:szCs w:val="20"/>
                <w:color w:val="auto"/>
              </w:rPr>
            </w:pPr>
            <w:r>
              <w:rPr>
                <w:rFonts w:ascii="Times New Roman" w:cs="Times New Roman" w:eastAsia="Times New Roman" w:hAnsi="Times New Roman"/>
                <w:sz w:val="18"/>
                <w:szCs w:val="18"/>
                <w:color w:val="0000FF"/>
              </w:rPr>
              <w:t>1C. Cybersecurity</w:t>
            </w: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r>
      <w:tr>
        <w:trPr>
          <w:trHeight w:val="223"/>
        </w:trPr>
        <w:tc>
          <w:tcPr>
            <w:tcW w:w="320" w:type="dxa"/>
            <w:vAlign w:val="bottom"/>
          </w:tcPr>
          <w:p>
            <w:pPr>
              <w:spacing w:after="0"/>
              <w:rPr>
                <w:sz w:val="19"/>
                <w:szCs w:val="19"/>
                <w:color w:val="auto"/>
              </w:rPr>
            </w:pPr>
          </w:p>
        </w:tc>
        <w:tc>
          <w:tcPr>
            <w:tcW w:w="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1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14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Properties</w:t>
            </w:r>
          </w:p>
        </w:tc>
        <w:tc>
          <w:tcPr>
            <w:tcW w:w="7820" w:type="dxa"/>
            <w:vAlign w:val="bottom"/>
            <w:gridSpan w:val="15"/>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36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9"/>
                <w:szCs w:val="19"/>
                <w:color w:val="auto"/>
              </w:rPr>
            </w:pPr>
          </w:p>
        </w:tc>
        <w:tc>
          <w:tcPr>
            <w:tcW w:w="7580" w:type="dxa"/>
            <w:vAlign w:val="bottom"/>
            <w:gridSpan w:val="13"/>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320" w:type="dxa"/>
            <w:vAlign w:val="bottom"/>
          </w:tcPr>
          <w:p>
            <w:pPr>
              <w:spacing w:after="0"/>
              <w:rPr>
                <w:sz w:val="22"/>
                <w:szCs w:val="22"/>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896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2"/>
        </w:trPr>
        <w:tc>
          <w:tcPr>
            <w:tcW w:w="60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w w:val="92"/>
              </w:rPr>
              <w:t>PART II</w:t>
            </w:r>
          </w:p>
        </w:tc>
        <w:tc>
          <w:tcPr>
            <w:tcW w:w="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738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w:t>
            </w:r>
          </w:p>
        </w:tc>
        <w:tc>
          <w:tcPr>
            <w:tcW w:w="158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r>
      <w:tr>
        <w:trPr>
          <w:trHeight w:val="196"/>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w w:val="98"/>
              </w:rPr>
              <w:t>Securities</w:t>
            </w:r>
          </w:p>
        </w:tc>
        <w:tc>
          <w:tcPr>
            <w:tcW w:w="20" w:type="dxa"/>
            <w:vAlign w:val="bottom"/>
            <w:tcBorders>
              <w:bottom w:val="single" w:sz="8" w:color="0000EE"/>
            </w:tcBorders>
          </w:tcPr>
          <w:p>
            <w:pPr>
              <w:spacing w:after="0"/>
              <w:rPr>
                <w:sz w:val="17"/>
                <w:szCs w:val="17"/>
                <w:color w:val="auto"/>
              </w:rPr>
            </w:pPr>
          </w:p>
        </w:tc>
        <w:tc>
          <w:tcPr>
            <w:tcW w:w="8600" w:type="dxa"/>
            <w:vAlign w:val="bottom"/>
            <w:gridSpan w:val="21"/>
          </w:tcPr>
          <w:p>
            <w:pPr>
              <w:spacing w:after="0"/>
              <w:rPr>
                <w:sz w:val="17"/>
                <w:szCs w:val="17"/>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w:t>
            </w:r>
          </w:p>
        </w:tc>
      </w:tr>
      <w:tr>
        <w:trPr>
          <w:trHeight w:val="263"/>
        </w:trPr>
        <w:tc>
          <w:tcPr>
            <w:tcW w:w="320" w:type="dxa"/>
            <w:vAlign w:val="bottom"/>
          </w:tcPr>
          <w:p>
            <w:pPr>
              <w:spacing w:after="0"/>
              <w:rPr>
                <w:sz w:val="22"/>
                <w:szCs w:val="22"/>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896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Selected Financial Data</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2"/>
        </w:trPr>
        <w:tc>
          <w:tcPr>
            <w:tcW w:w="320" w:type="dxa"/>
            <w:vAlign w:val="bottom"/>
          </w:tcPr>
          <w:p>
            <w:pPr>
              <w:spacing w:after="0"/>
              <w:rPr>
                <w:sz w:val="17"/>
                <w:szCs w:val="17"/>
                <w:color w:val="auto"/>
              </w:rPr>
            </w:pPr>
          </w:p>
        </w:tc>
        <w:tc>
          <w:tcPr>
            <w:tcW w:w="36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w:t>
            </w:r>
          </w:p>
        </w:tc>
        <w:tc>
          <w:tcPr>
            <w:tcW w:w="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0000FF"/>
              </w:rPr>
              <w:t>7.</w:t>
            </w:r>
          </w:p>
        </w:tc>
        <w:tc>
          <w:tcPr>
            <w:tcW w:w="8960" w:type="dxa"/>
            <w:vAlign w:val="bottom"/>
            <w:gridSpan w:val="25"/>
          </w:tcPr>
          <w:p>
            <w:pPr>
              <w:ind w:left="2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r>
      <w:tr>
        <w:trPr>
          <w:trHeight w:val="223"/>
        </w:trPr>
        <w:tc>
          <w:tcPr>
            <w:tcW w:w="320" w:type="dxa"/>
            <w:vAlign w:val="bottom"/>
          </w:tcPr>
          <w:p>
            <w:pPr>
              <w:spacing w:after="0"/>
              <w:rPr>
                <w:sz w:val="19"/>
                <w:szCs w:val="19"/>
                <w:color w:val="auto"/>
              </w:rPr>
            </w:pPr>
          </w:p>
        </w:tc>
        <w:tc>
          <w:tcPr>
            <w:tcW w:w="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6640" w:type="dxa"/>
            <w:vAlign w:val="bottom"/>
            <w:tcBorders>
              <w:top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color w:val="0000FF"/>
              </w:rPr>
              <w:t>7A. Quantitative and Qualitative Disclosures About Market Risk</w:t>
            </w:r>
          </w:p>
        </w:tc>
        <w:tc>
          <w:tcPr>
            <w:tcW w:w="2500" w:type="dxa"/>
            <w:vAlign w:val="bottom"/>
            <w:gridSpan w:val="3"/>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3"/>
        </w:trPr>
        <w:tc>
          <w:tcPr>
            <w:tcW w:w="320" w:type="dxa"/>
            <w:vAlign w:val="bottom"/>
          </w:tcPr>
          <w:p>
            <w:pPr>
              <w:spacing w:after="0"/>
              <w:rPr>
                <w:sz w:val="22"/>
                <w:szCs w:val="22"/>
                <w:color w:val="auto"/>
              </w:rPr>
            </w:pPr>
          </w:p>
        </w:tc>
        <w:tc>
          <w:tcPr>
            <w:tcW w:w="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tcBorders>
              <w:top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460" w:type="dxa"/>
            <w:vAlign w:val="bottom"/>
            <w:gridSpan w:val="5"/>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320" w:type="dxa"/>
            <w:vAlign w:val="bottom"/>
          </w:tcPr>
          <w:p>
            <w:pPr>
              <w:spacing w:after="0"/>
              <w:rPr>
                <w:sz w:val="21"/>
                <w:szCs w:val="21"/>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896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2"/>
        </w:trPr>
        <w:tc>
          <w:tcPr>
            <w:tcW w:w="320" w:type="dxa"/>
            <w:vAlign w:val="bottom"/>
          </w:tcPr>
          <w:p>
            <w:pPr>
              <w:spacing w:after="0"/>
              <w:rPr>
                <w:sz w:val="17"/>
                <w:szCs w:val="17"/>
                <w:color w:val="auto"/>
              </w:rPr>
            </w:pPr>
          </w:p>
        </w:tc>
        <w:tc>
          <w:tcPr>
            <w:tcW w:w="36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w:t>
            </w:r>
          </w:p>
        </w:tc>
        <w:tc>
          <w:tcPr>
            <w:tcW w:w="2120" w:type="dxa"/>
            <w:vAlign w:val="bottom"/>
            <w:tcBorders>
              <w:bottom w:val="single" w:sz="8" w:color="0000FF"/>
            </w:tcBorders>
            <w:gridSpan w:val="17"/>
          </w:tcPr>
          <w:p>
            <w:pPr>
              <w:ind w:left="20"/>
              <w:spacing w:after="0" w:line="202" w:lineRule="exact"/>
              <w:rPr>
                <w:sz w:val="20"/>
                <w:szCs w:val="20"/>
                <w:color w:val="auto"/>
              </w:rPr>
            </w:pPr>
            <w:r>
              <w:rPr>
                <w:rFonts w:ascii="Times New Roman" w:cs="Times New Roman" w:eastAsia="Times New Roman" w:hAnsi="Times New Roman"/>
                <w:sz w:val="18"/>
                <w:szCs w:val="18"/>
                <w:color w:val="0000FF"/>
                <w:w w:val="99"/>
              </w:rPr>
              <w:t>9A. Controls and Procedures</w:t>
            </w:r>
          </w:p>
        </w:tc>
        <w:tc>
          <w:tcPr>
            <w:tcW w:w="7020" w:type="dxa"/>
            <w:vAlign w:val="bottom"/>
            <w:gridSpan w:val="9"/>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164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9B. Other Information</w:t>
            </w:r>
          </w:p>
        </w:tc>
        <w:tc>
          <w:tcPr>
            <w:tcW w:w="20" w:type="dxa"/>
            <w:vAlign w:val="bottom"/>
            <w:tcBorders>
              <w:bottom w:val="single" w:sz="8" w:color="0000EE"/>
            </w:tcBorders>
          </w:tcPr>
          <w:p>
            <w:pPr>
              <w:spacing w:after="0"/>
              <w:rPr>
                <w:sz w:val="19"/>
                <w:szCs w:val="19"/>
                <w:color w:val="auto"/>
              </w:rPr>
            </w:pPr>
          </w:p>
        </w:tc>
        <w:tc>
          <w:tcPr>
            <w:tcW w:w="7480" w:type="dxa"/>
            <w:vAlign w:val="bottom"/>
            <w:gridSpan w:val="11"/>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3"/>
        </w:trPr>
        <w:tc>
          <w:tcPr>
            <w:tcW w:w="320" w:type="dxa"/>
            <w:vAlign w:val="bottom"/>
          </w:tcPr>
          <w:p>
            <w:pPr>
              <w:spacing w:after="0"/>
              <w:rPr>
                <w:sz w:val="22"/>
                <w:szCs w:val="22"/>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w:t>
            </w:r>
          </w:p>
        </w:tc>
        <w:tc>
          <w:tcPr>
            <w:tcW w:w="914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auto"/>
              </w:rPr>
              <w:t>9C. Disclosure Regarding Foreign Jurisdictions that Prevent Inspections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2"/>
        </w:trPr>
        <w:tc>
          <w:tcPr>
            <w:tcW w:w="66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w w:val="93"/>
              </w:rPr>
              <w:t>PART III</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438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10. Directors, Executive Officers and Corporate Governance</w:t>
            </w:r>
          </w:p>
        </w:tc>
        <w:tc>
          <w:tcPr>
            <w:tcW w:w="4760" w:type="dxa"/>
            <w:vAlign w:val="bottom"/>
            <w:gridSpan w:val="6"/>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20" w:type="dxa"/>
            <w:vAlign w:val="bottom"/>
          </w:tcPr>
          <w:p>
            <w:pPr>
              <w:spacing w:after="0"/>
              <w:rPr>
                <w:sz w:val="19"/>
                <w:szCs w:val="19"/>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914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rPr>
              <w:t>11. Executive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2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gridSpan w:val="1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7580" w:type="dxa"/>
            <w:vAlign w:val="bottom"/>
            <w:tcBorders>
              <w:bottom w:val="single" w:sz="8" w:color="0000FF"/>
            </w:tcBorders>
            <w:gridSpan w:val="25"/>
          </w:tcPr>
          <w:p>
            <w:pPr>
              <w:ind w:left="20"/>
              <w:spacing w:after="0"/>
              <w:rPr>
                <w:sz w:val="20"/>
                <w:szCs w:val="20"/>
                <w:color w:val="auto"/>
              </w:rPr>
            </w:pPr>
            <w:r>
              <w:rPr>
                <w:rFonts w:ascii="Times New Roman" w:cs="Times New Roman" w:eastAsia="Times New Roman" w:hAnsi="Times New Roman"/>
                <w:sz w:val="18"/>
                <w:szCs w:val="18"/>
                <w:color w:val="0000FF"/>
                <w:w w:val="99"/>
              </w:rPr>
              <w:t>12. Security Ownership of Certain Beneficial Owners and Management and Related Stockholder Matters</w:t>
            </w:r>
          </w:p>
        </w:tc>
        <w:tc>
          <w:tcPr>
            <w:tcW w:w="1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20" w:type="dxa"/>
            <w:vAlign w:val="bottom"/>
          </w:tcPr>
          <w:p>
            <w:pPr>
              <w:spacing w:after="0"/>
              <w:rPr>
                <w:sz w:val="19"/>
                <w:szCs w:val="19"/>
                <w:color w:val="auto"/>
              </w:rPr>
            </w:pPr>
          </w:p>
        </w:tc>
        <w:tc>
          <w:tcPr>
            <w:tcW w:w="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574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13. Certain Relationships and Related Transactions, and Director Independence</w:t>
            </w:r>
          </w:p>
        </w:tc>
        <w:tc>
          <w:tcPr>
            <w:tcW w:w="3400" w:type="dxa"/>
            <w:vAlign w:val="bottom"/>
            <w:gridSpan w:val="4"/>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20" w:type="dxa"/>
            <w:vAlign w:val="bottom"/>
          </w:tcPr>
          <w:p>
            <w:pPr>
              <w:spacing w:after="0"/>
              <w:rPr>
                <w:sz w:val="19"/>
                <w:szCs w:val="19"/>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w:t>
            </w:r>
          </w:p>
        </w:tc>
        <w:tc>
          <w:tcPr>
            <w:tcW w:w="914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rPr>
              <w:t>14. Principal Accountant Fees and Services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2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3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Pr>
          <w:p>
            <w:pPr>
              <w:spacing w:after="0"/>
              <w:rPr>
                <w:sz w:val="19"/>
                <w:szCs w:val="19"/>
                <w:color w:val="auto"/>
              </w:rPr>
            </w:pPr>
          </w:p>
        </w:tc>
        <w:tc>
          <w:tcPr>
            <w:tcW w:w="914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rPr>
              <w:t>15. Exhibits and Financial Statement Schedules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320" w:type="dxa"/>
            <w:vAlign w:val="bottom"/>
          </w:tcPr>
          <w:p>
            <w:pPr>
              <w:spacing w:after="0"/>
              <w:rPr>
                <w:sz w:val="22"/>
                <w:szCs w:val="22"/>
                <w:color w:val="auto"/>
              </w:rPr>
            </w:pPr>
          </w:p>
        </w:tc>
        <w:tc>
          <w:tcPr>
            <w:tcW w:w="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Item</w:t>
            </w:r>
          </w:p>
        </w:tc>
        <w:tc>
          <w:tcPr>
            <w:tcW w:w="3440" w:type="dxa"/>
            <w:vAlign w:val="bottom"/>
            <w:tcBorders>
              <w:top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auto"/>
              </w:rPr>
              <w:t>16. Form 10-K Summary</w:t>
            </w:r>
          </w:p>
        </w:tc>
        <w:tc>
          <w:tcPr>
            <w:tcW w:w="5700" w:type="dxa"/>
            <w:vAlign w:val="bottom"/>
            <w:gridSpan w:val="7"/>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2"/>
        </w:trPr>
        <w:tc>
          <w:tcPr>
            <w:tcW w:w="1100" w:type="dxa"/>
            <w:vAlign w:val="bottom"/>
            <w:tcBorders>
              <w:bottom w:val="single" w:sz="8" w:color="0000FF"/>
            </w:tcBorders>
            <w:gridSpan w:val="8"/>
          </w:tcPr>
          <w:p>
            <w:pPr>
              <w:spacing w:after="0" w:line="202" w:lineRule="exact"/>
              <w:rPr>
                <w:sz w:val="20"/>
                <w:szCs w:val="20"/>
                <w:color w:val="auto"/>
              </w:rPr>
            </w:pPr>
            <w:r>
              <w:rPr>
                <w:rFonts w:ascii="Times New Roman" w:cs="Times New Roman" w:eastAsia="Times New Roman" w:hAnsi="Times New Roman"/>
                <w:sz w:val="18"/>
                <w:szCs w:val="18"/>
                <w:color w:val="0000FF"/>
                <w:w w:val="96"/>
              </w:rPr>
              <w:t>SIGNATURES</w:t>
            </w:r>
          </w:p>
        </w:tc>
        <w:tc>
          <w:tcPr>
            <w:tcW w:w="20" w:type="dxa"/>
            <w:vAlign w:val="bottom"/>
            <w:tcBorders>
              <w:bottom w:val="single" w:sz="8" w:color="0000EE"/>
            </w:tcBorders>
          </w:tcPr>
          <w:p>
            <w:pPr>
              <w:spacing w:after="0"/>
              <w:rPr>
                <w:sz w:val="17"/>
                <w:szCs w:val="17"/>
                <w:color w:val="auto"/>
              </w:rPr>
            </w:pPr>
          </w:p>
        </w:tc>
        <w:tc>
          <w:tcPr>
            <w:tcW w:w="8700" w:type="dxa"/>
            <w:vAlign w:val="bottom"/>
            <w:gridSpan w:val="23"/>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794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0"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Refer to Part IV — Item 15 of this Annual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378"/>
        </w:trPr>
        <w:tc>
          <w:tcPr>
            <w:tcW w:w="20" w:type="dxa"/>
            <w:vAlign w:val="bottom"/>
          </w:tcPr>
          <w:p>
            <w:pPr>
              <w:spacing w:after="0"/>
              <w:rPr>
                <w:sz w:val="24"/>
                <w:szCs w:val="24"/>
                <w:color w:val="auto"/>
              </w:rPr>
            </w:pPr>
          </w:p>
        </w:tc>
        <w:tc>
          <w:tcPr>
            <w:tcW w:w="884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LIST OF THE ODP CORPORATION’S SIGNIFICANT SUBSIDIARIES</w:t>
            </w:r>
          </w:p>
        </w:tc>
        <w:tc>
          <w:tcPr>
            <w:tcW w:w="2380" w:type="dxa"/>
            <w:vAlign w:val="bottom"/>
          </w:tcPr>
          <w:p>
            <w:pPr>
              <w:spacing w:after="0"/>
              <w:rPr>
                <w:sz w:val="24"/>
                <w:szCs w:val="24"/>
                <w:color w:val="auto"/>
              </w:rPr>
            </w:pPr>
          </w:p>
        </w:tc>
      </w:tr>
      <w:tr>
        <w:trPr>
          <w:trHeight w:val="378"/>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Domestic/US Subsidiaries:</w:t>
            </w:r>
          </w:p>
        </w:tc>
        <w:tc>
          <w:tcPr>
            <w:tcW w:w="2380" w:type="dxa"/>
            <w:vAlign w:val="bottom"/>
          </w:tcPr>
          <w:p>
            <w:pPr>
              <w:spacing w:after="0"/>
              <w:rPr>
                <w:sz w:val="24"/>
                <w:szCs w:val="24"/>
                <w:color w:val="auto"/>
              </w:rPr>
            </w:pPr>
          </w:p>
        </w:tc>
      </w:tr>
      <w:tr>
        <w:trPr>
          <w:trHeight w:val="667"/>
        </w:trPr>
        <w:tc>
          <w:tcPr>
            <w:tcW w:w="20" w:type="dxa"/>
            <w:vAlign w:val="bottom"/>
          </w:tcPr>
          <w:p>
            <w:pPr>
              <w:spacing w:after="0"/>
              <w:rPr>
                <w:sz w:val="24"/>
                <w:szCs w:val="24"/>
                <w:color w:val="auto"/>
              </w:rPr>
            </w:pPr>
          </w:p>
        </w:tc>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Name</w:t>
            </w:r>
          </w:p>
        </w:tc>
        <w:tc>
          <w:tcPr>
            <w:tcW w:w="90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Jurisdiction of Incorporation</w:t>
            </w:r>
          </w:p>
        </w:tc>
      </w:tr>
      <w:tr>
        <w:trPr>
          <w:trHeight w:val="221"/>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Office Club,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8"/>
        </w:trPr>
        <w:tc>
          <w:tcPr>
            <w:tcW w:w="20" w:type="dxa"/>
            <w:vAlign w:val="bottom"/>
          </w:tcPr>
          <w:p>
            <w:pPr>
              <w:spacing w:after="0"/>
              <w:rPr>
                <w:sz w:val="20"/>
                <w:szCs w:val="20"/>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Viking Office Products,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Computers4Sure.com,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Solutions4Sure.com,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 International,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 Office Supplies,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ODV France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 France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4Sure.com,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Swinton Avenue Trading Limited,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2300 South Congress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Neighborhood Retail Development Fund,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Land Company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Notus Aviation,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 Medical Solutions,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 Brazil Holdings,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Depot N.A. Shared Services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Depot Foreign Holdings GP,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Depot Foreign Holdings LP,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eDepot,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Mapleby Holdings Merger Corporation</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Wahkiakum Gas Corporation</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Reliable Express Corporation</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OMX Timber Finance Holdings II,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OMX Timber Finance Holdings I,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OfficeMax,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Minidoka Paper Holdings,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Depot Pension Finance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OfficeMax Southern Company</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OfficeMax Nevada Company</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OMX,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OfficeMax North America,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American Card and Coupon Services,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Hawaii</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6600 North Holdings,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6600 North Owner,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Depot Puerto Rico,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Puerto Rico</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OfficeMax Puerto Rico,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Puerto Rico</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Complete Office,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Complete Office of Wisconsin,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Lincoln Merger Sub Two,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Sandia Office Supply,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Admiral Express,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Midway Office Supply,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SOS Investments,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Regency Office Products,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Regency Franchise Group,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POP Pinnacle Office Products,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Regency,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Regency Office Products of Missouri, LLC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Garvey’s Office Products,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Perimeter Office Products,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Bertelson Brothers, Inc.</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r>
    </w:tbl>
    <w:p>
      <w:pPr>
        <w:sectPr>
          <w:pgSz w:w="11900" w:h="16838" w:orient="portrait"/>
          <w:cols w:equalWidth="0" w:num="1">
            <w:col w:w="11240"/>
          </w:cols>
          <w:pgMar w:left="320" w:top="1412" w:right="339" w:bottom="344"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478790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ZerBee, LLC</w:t>
            </w:r>
          </w:p>
        </w:tc>
        <w:tc>
          <w:tcPr>
            <w:tcW w:w="15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Trio Supply Company</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 Business Products &amp; Interiors,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Americas Office Source,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Discount Office Items,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Essentials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Veyer, LLC (fka Office Depot Logistics,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Veyer Logistics,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Depot,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ODP Investment,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ODP Business Solutions,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ODP Business Solutions Holdings,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ODP International,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ODP International Holdings,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Federation HoldCo,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Varis,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Varis Holding, LLC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BuyerQuest,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BuyerQuest Holdings,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BizMart,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BizMart (Texas),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Gateway Printing &amp; Office Supply, Inc.</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445"/>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Subsidiaries of the Company:</w:t>
            </w: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40"/>
        </w:trPr>
        <w:tc>
          <w:tcPr>
            <w:tcW w:w="20" w:type="dxa"/>
            <w:vAlign w:val="bottom"/>
          </w:tcPr>
          <w:p>
            <w:pPr>
              <w:spacing w:after="0"/>
              <w:rPr>
                <w:sz w:val="24"/>
                <w:szCs w:val="24"/>
                <w:color w:val="auto"/>
              </w:rPr>
            </w:pPr>
          </w:p>
        </w:tc>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Name</w:t>
            </w:r>
          </w:p>
        </w:tc>
        <w:tc>
          <w:tcPr>
            <w:tcW w:w="15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Jurisdiction of Incorporation</w:t>
            </w:r>
          </w:p>
        </w:tc>
      </w:tr>
      <w:tr>
        <w:trPr>
          <w:trHeight w:val="221"/>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Clearfield Insurance Limited</w:t>
            </w:r>
          </w:p>
        </w:tc>
        <w:tc>
          <w:tcPr>
            <w:tcW w:w="15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Grand &amp; Toy Limited</w:t>
            </w:r>
          </w:p>
        </w:tc>
        <w:tc>
          <w:tcPr>
            <w:tcW w:w="15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AsiaEC.com Limited</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Depot Merchandising (Shenzhen) Co. Ltd.</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Depot Asia Holding Limited</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Depot Global Sourcing Ltd</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OM Luxembourg Holdings S.à r.l.</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Guilbert UK Pension Trustees Ltd</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Depot UK Pension Sponsor Limited</w:t>
            </w:r>
          </w:p>
        </w:tc>
        <w:tc>
          <w:tcPr>
            <w:tcW w:w="15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ind w:left="20"/>
        <w:spacing w:after="0"/>
        <w:tabs>
          <w:tab w:leader="none" w:pos="24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Ownership may consist of one subsidiary or any combination of subsidiaries, which may include The ODP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1178560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333-255421, 333-192185, 333-205084, 333-219380, and 333-231370 on Form S-8 of our reports dated February 28, 2024 relating to the financial statements of The ODP Corporation and subsidiaries (the “Company”) and the effectiveness of the Company's internal control over financial reporting, appearing in this Annual Report on Form 10-K of the Company for the fiscal year ended December 30,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Gerry P. Smith, certify that:</w:t>
      </w:r>
    </w:p>
    <w:p>
      <w:pPr>
        <w:spacing w:after="0" w:line="117"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ODP Corporation;</w:t>
      </w:r>
    </w:p>
    <w:p>
      <w:pPr>
        <w:spacing w:after="0" w:line="116"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280" w:hanging="378"/>
        <w:spacing w:after="0" w:line="265"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GERRY P. SMITH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Gerry P. Smith</w:t>
            </w:r>
          </w:p>
        </w:tc>
        <w:tc>
          <w:tcPr>
            <w:tcW w:w="8020" w:type="dxa"/>
            <w:vAlign w:val="bottom"/>
          </w:tcPr>
          <w:p>
            <w:pPr>
              <w:spacing w:after="0"/>
              <w:rPr>
                <w:sz w:val="20"/>
                <w:szCs w:val="20"/>
                <w:color w:val="auto"/>
              </w:rPr>
            </w:pPr>
          </w:p>
        </w:tc>
      </w:tr>
      <w:tr>
        <w:trPr>
          <w:trHeight w:val="23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4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0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991"/>
        </w:trPr>
        <w:tc>
          <w:tcPr>
            <w:tcW w:w="7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Anthony Scaglione, certify that:</w:t>
      </w:r>
    </w:p>
    <w:p>
      <w:pPr>
        <w:spacing w:after="0" w:line="130"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ODP Corporation;</w:t>
      </w:r>
    </w:p>
    <w:p>
      <w:pPr>
        <w:spacing w:after="0" w:line="130"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280" w:hanging="378"/>
        <w:spacing w:after="0" w:line="265"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 ANTHONY SCAGLIONE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 Anthony Scaglione</w:t>
            </w:r>
          </w:p>
        </w:tc>
        <w:tc>
          <w:tcPr>
            <w:tcW w:w="7600" w:type="dxa"/>
            <w:vAlign w:val="bottom"/>
          </w:tcPr>
          <w:p>
            <w:pPr>
              <w:spacing w:after="0"/>
              <w:rPr>
                <w:sz w:val="20"/>
                <w:szCs w:val="20"/>
                <w:color w:val="auto"/>
              </w:rPr>
            </w:pPr>
          </w:p>
        </w:tc>
      </w:tr>
      <w:tr>
        <w:trPr>
          <w:trHeight w:val="23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4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0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991"/>
        </w:trPr>
        <w:tc>
          <w:tcPr>
            <w:tcW w:w="7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on Form 10-K (the “Report”) of The ODP Corporation (the “Company”) for the fiscal year ended December 30, 2023 as filed with the U.S. Securities and Exchange Commission on the date hereof, Gerry P. Smith, as Chief Executive Officer of the Company, and D. Anthony Scaglione, as Chief Financial Officer of the Company, each hereby certifies, pursuant to 18 U.S.C. § 1350, as adopted pursuant to § 906 of the Sarbanes-Oxley Act of 2002, that, to each officer’s knowledge:</w:t>
      </w:r>
    </w:p>
    <w:p>
      <w:pPr>
        <w:spacing w:after="0" w:line="47"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9"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GERRY P. SMITH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40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Gerry P. Smith</w:t>
            </w:r>
          </w:p>
        </w:tc>
      </w:tr>
      <w:tr>
        <w:trPr>
          <w:trHeight w:val="242"/>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February 28, 2024</w:t>
            </w:r>
          </w:p>
        </w:tc>
      </w:tr>
    </w:tbl>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 ANTHONY SCAGLIONE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39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 Anthony Scaglione</w:t>
            </w:r>
          </w:p>
        </w:tc>
      </w:tr>
      <w:tr>
        <w:trPr>
          <w:trHeight w:val="242"/>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February 28, 2024</w:t>
            </w:r>
          </w:p>
        </w:tc>
      </w:tr>
    </w:tbl>
    <w:p>
      <w:pPr>
        <w:spacing w:after="0" w:line="23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 signed original of this certification required by Section 906 has been provided to the Company and will be retained by the Company and furnished to the U.S. Securities and Exchange Commission or its staff upon request.</w:t>
      </w:r>
    </w:p>
    <w:p>
      <w:pPr>
        <w:spacing w:after="0" w:line="10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14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POLICY FOR THE RECOVERY OF ERRONEOUSLY AWARDED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INCENTIVE-BASED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ODP Corporation and its subsidiaries (collectively, the “Company” or “ODP”) are committed to full compliance with U.S. federal and state securities laws (collectively, the “Securities Laws”). The purpose of this Policy is to describe the circumstances in which executive officers of the Company (“Executive Officers”) will be required to repay or return erroneously awarded compensation to the Company in accordance with the Clawback Rules, as defined herein. Each Executive Officer shall be required to sign and return to the Company the Acknowledgement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acknowledge that he or she is bound by the terms of this Policy; provided, however, that this Policy shall apply to, and be enforceable against, any Executive Officer and his or her successors (as specified in Section 11 of this Policy) regardless of whether or not such Executive Officer properly signs and returns to the Company such Acknowledgement Form and regardless of whether or not such Executive Officer is aware of his or her status as such. This Policy is designed to comply with the Clawback Rules.</w:t>
      </w:r>
    </w:p>
    <w:p>
      <w:pPr>
        <w:spacing w:after="0" w:line="108" w:lineRule="exact"/>
        <w:rPr>
          <w:sz w:val="20"/>
          <w:szCs w:val="20"/>
          <w:color w:val="auto"/>
        </w:rPr>
      </w:pPr>
    </w:p>
    <w:p>
      <w:pPr>
        <w:jc w:val="both"/>
        <w:ind w:firstLine="8"/>
        <w:spacing w:after="0" w:line="256" w:lineRule="auto"/>
        <w:tabs>
          <w:tab w:leader="none" w:pos="3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Except as specifically set forth herein, this Policy shall be administered by the Compensation and Talent Committee of the Board (“CTC”) unless the Board of Directors of the Company (the “Board”) determines to administer this Policy itself. Any determinations made by the Board and/or the CTC shall be final and binding on all affected individuals and need not be uniform with respect to each individual covered by this Policy. Subject to any limitation under applicable law, the Board and/or the CTC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9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 the following capitalized terms shall have the meanings set forth below.</w:t>
      </w:r>
    </w:p>
    <w:p>
      <w:pPr>
        <w:spacing w:after="0" w:line="126" w:lineRule="exact"/>
        <w:rPr>
          <w:rFonts w:ascii="Times New Roman" w:cs="Times New Roman" w:eastAsia="Times New Roman" w:hAnsi="Times New Roman"/>
          <w:sz w:val="18"/>
          <w:szCs w:val="18"/>
          <w:color w:val="auto"/>
        </w:rPr>
      </w:pPr>
    </w:p>
    <w:p>
      <w:pPr>
        <w:jc w:val="both"/>
        <w:ind w:firstLine="757"/>
        <w:spacing w:after="0" w:line="262"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93" w:lineRule="exact"/>
        <w:rPr>
          <w:rFonts w:ascii="Times New Roman" w:cs="Times New Roman" w:eastAsia="Times New Roman" w:hAnsi="Times New Roman"/>
          <w:sz w:val="18"/>
          <w:szCs w:val="18"/>
          <w:color w:val="auto"/>
        </w:rPr>
      </w:pPr>
    </w:p>
    <w:p>
      <w:pPr>
        <w:jc w:val="both"/>
        <w:ind w:firstLine="757"/>
        <w:spacing w:after="0" w:line="259"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Nasdaq (or any other U.S. national securities exchange or a national securities association); and (iv) during the applicable Clawback Period.</w:t>
      </w:r>
    </w:p>
    <w:p>
      <w:pPr>
        <w:spacing w:after="0" w:line="83" w:lineRule="exact"/>
        <w:rPr>
          <w:rFonts w:ascii="Times New Roman" w:cs="Times New Roman" w:eastAsia="Times New Roman" w:hAnsi="Times New Roman"/>
          <w:sz w:val="18"/>
          <w:szCs w:val="18"/>
          <w:color w:val="auto"/>
        </w:rPr>
      </w:pPr>
    </w:p>
    <w:p>
      <w:pPr>
        <w:jc w:val="both"/>
        <w:ind w:firstLine="757"/>
        <w:spacing w:after="0" w:line="268"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75" w:lineRule="exact"/>
        <w:rPr>
          <w:rFonts w:ascii="Times New Roman" w:cs="Times New Roman" w:eastAsia="Times New Roman" w:hAnsi="Times New Roman"/>
          <w:sz w:val="18"/>
          <w:szCs w:val="18"/>
          <w:color w:val="auto"/>
        </w:rPr>
      </w:pPr>
    </w:p>
    <w:p>
      <w:pPr>
        <w:jc w:val="both"/>
        <w:ind w:firstLine="757"/>
        <w:spacing w:after="0" w:line="262"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Rules</w:t>
      </w:r>
      <w:r>
        <w:rPr>
          <w:rFonts w:ascii="Times New Roman" w:cs="Times New Roman" w:eastAsia="Times New Roman" w:hAnsi="Times New Roman"/>
          <w:sz w:val="18"/>
          <w:szCs w:val="18"/>
          <w:color w:val="auto"/>
        </w:rPr>
        <w:t>” shall mean Section 10D of the Securities Exchange Act of 1934, as amended (the “Exchange Act”), and the rules and regulations promulgated thereunder and any applicable rules or standards adopted by the U.S. Securities and Exchange Commission (“SEC”) (including Rule 10D-1 under the Exchange Act), the Nasdaq Stock Market (“Nasdaq”) (including Nasdaq Listing Rule 5608) or the rules of any other U.S. national securities exchange or national securities association on which the Company’s securities are listed, in each case as may be in effect from time to time.</w:t>
      </w:r>
    </w:p>
    <w:p>
      <w:pPr>
        <w:spacing w:after="0" w:line="93"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October 2, 2023.</w:t>
      </w:r>
    </w:p>
    <w:p>
      <w:pPr>
        <w:spacing w:after="0" w:line="130" w:lineRule="exact"/>
        <w:rPr>
          <w:rFonts w:ascii="Times New Roman" w:cs="Times New Roman" w:eastAsia="Times New Roman" w:hAnsi="Times New Roman"/>
          <w:sz w:val="18"/>
          <w:szCs w:val="18"/>
          <w:color w:val="auto"/>
        </w:rPr>
      </w:pPr>
    </w:p>
    <w:p>
      <w:pPr>
        <w:jc w:val="both"/>
        <w:ind w:right="20" w:firstLine="757"/>
        <w:spacing w:after="0" w:line="268"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spacing w:after="0" w:line="75" w:lineRule="exact"/>
        <w:rPr>
          <w:rFonts w:ascii="Times New Roman" w:cs="Times New Roman" w:eastAsia="Times New Roman" w:hAnsi="Times New Roman"/>
          <w:sz w:val="18"/>
          <w:szCs w:val="18"/>
          <w:color w:val="auto"/>
        </w:rPr>
      </w:pPr>
    </w:p>
    <w:p>
      <w:pPr>
        <w:jc w:val="both"/>
        <w:ind w:firstLine="757"/>
        <w:spacing w:after="0" w:line="259"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any individual who is (or was at any time during the applicable Clawback Period) an executive officer as determined by the Board and/or the CTC in accordance with the definition of “executive officer” as set forth in the Clawback Rules and any other senior executive, employee or other personnel of the Company who may from time to time be deemed subject to the Policy by the Board and/or the CTC. For the avoidance of doubt, the Board and/or the CTC shall have full discretion to determine which individuals in the Company shall be considered an “Executive Officer” for purposes of this Policy.</w:t>
      </w:r>
    </w:p>
    <w:p>
      <w:pPr>
        <w:spacing w:after="0" w:line="96" w:lineRule="exact"/>
        <w:rPr>
          <w:rFonts w:ascii="Times New Roman" w:cs="Times New Roman" w:eastAsia="Times New Roman" w:hAnsi="Times New Roman"/>
          <w:sz w:val="18"/>
          <w:szCs w:val="18"/>
          <w:color w:val="auto"/>
        </w:rPr>
      </w:pPr>
    </w:p>
    <w:p>
      <w:pPr>
        <w:jc w:val="both"/>
        <w:ind w:firstLine="757"/>
        <w:spacing w:after="0" w:line="262"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1" w:name="page112"/>
    <w:bookmarkEnd w:id="111"/>
    <w:p>
      <w:pPr>
        <w:ind w:left="-8" w:right="20" w:firstLine="757"/>
        <w:spacing w:after="0" w:line="286"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73" w:lineRule="exact"/>
        <w:rPr>
          <w:rFonts w:ascii="Times New Roman" w:cs="Times New Roman" w:eastAsia="Times New Roman" w:hAnsi="Times New Roman"/>
          <w:sz w:val="18"/>
          <w:szCs w:val="18"/>
          <w:color w:val="auto"/>
        </w:rPr>
      </w:pPr>
    </w:p>
    <w:p>
      <w:pPr>
        <w:jc w:val="both"/>
        <w:ind w:left="-8" w:firstLine="757"/>
        <w:spacing w:after="0" w:line="253"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shall mean, in accordance with the good faith determination of the CTC that either: (i) the direct expenses paid to a third party to 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Nasdaq (or another U.S. national securities exchange or national securities association on which the Company’s securities are listed); (ii) recovery would violate the Company’s home country law where that law was adopted prior to November 28, 2022, provided that, before concluding that it would be impracticable to recover any amount of Erroneously Awarded Compensation based on violation of home country law, the Company has obtained an opinion of home country counsel, acceptable to the Nasdaq (or another U.S. national securities exchange or national securities association on which the Company’s securities are listed), that recovery would result in such a violation and a copy of the opinion is provided to the Nasdaq (or another U.S. national securities exchange or national securities association on which the Company’s securities are listed); or (iii) recovery would likely cause an otherwise tax-qualified retirement plan, under which benefits are broadly available to employees of the Company, to fail to meet the requirements of 26 U.S.C. 401(a)(13) or 26 U.S.C. 411(a) and regulations thereunder.</w:t>
      </w:r>
    </w:p>
    <w:p>
      <w:pPr>
        <w:spacing w:after="0" w:line="94" w:lineRule="exact"/>
        <w:rPr>
          <w:rFonts w:ascii="Times New Roman" w:cs="Times New Roman" w:eastAsia="Times New Roman" w:hAnsi="Times New Roman"/>
          <w:sz w:val="18"/>
          <w:szCs w:val="18"/>
          <w:color w:val="auto"/>
        </w:rPr>
      </w:pPr>
    </w:p>
    <w:p>
      <w:pPr>
        <w:jc w:val="both"/>
        <w:ind w:left="-8" w:right="20" w:firstLine="757"/>
        <w:spacing w:after="0" w:line="26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Method of Recovery</w:t>
      </w:r>
      <w:r>
        <w:rPr>
          <w:rFonts w:ascii="Times New Roman" w:cs="Times New Roman" w:eastAsia="Times New Roman" w:hAnsi="Times New Roman"/>
          <w:sz w:val="18"/>
          <w:szCs w:val="18"/>
          <w:color w:val="auto"/>
        </w:rPr>
        <w:t>” 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 (v) taking any other remedial and recovery action permitted by applicable law, as determined by the Board and/or the CTC.</w:t>
      </w:r>
    </w:p>
    <w:p>
      <w:pPr>
        <w:spacing w:after="0" w:line="80" w:lineRule="exact"/>
        <w:rPr>
          <w:rFonts w:ascii="Times New Roman" w:cs="Times New Roman" w:eastAsia="Times New Roman" w:hAnsi="Times New Roman"/>
          <w:sz w:val="18"/>
          <w:szCs w:val="18"/>
          <w:color w:val="auto"/>
        </w:rPr>
      </w:pPr>
    </w:p>
    <w:p>
      <w:pPr>
        <w:ind w:left="-8" w:firstLine="757"/>
        <w:spacing w:after="0" w:line="286"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Policy for the Recovery of Erroneously Awarded Incentive-Based Compensation, as the same may be amended and/or restated from time to time.</w:t>
      </w:r>
    </w:p>
    <w:p>
      <w:pPr>
        <w:spacing w:after="0" w:line="73" w:lineRule="exact"/>
        <w:rPr>
          <w:rFonts w:ascii="Times New Roman" w:cs="Times New Roman" w:eastAsia="Times New Roman" w:hAnsi="Times New Roman"/>
          <w:sz w:val="18"/>
          <w:szCs w:val="18"/>
          <w:color w:val="auto"/>
        </w:rPr>
      </w:pPr>
    </w:p>
    <w:p>
      <w:pPr>
        <w:jc w:val="both"/>
        <w:ind w:left="-8" w:firstLine="757"/>
        <w:spacing w:after="0" w:line="259"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include, with respect to any Incentive-based Compensation, compensation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spacing w:after="0" w:line="83" w:lineRule="exact"/>
        <w:rPr>
          <w:rFonts w:ascii="Times New Roman" w:cs="Times New Roman" w:eastAsia="Times New Roman" w:hAnsi="Times New Roman"/>
          <w:sz w:val="18"/>
          <w:szCs w:val="18"/>
          <w:color w:val="auto"/>
        </w:rPr>
      </w:pPr>
    </w:p>
    <w:p>
      <w:pPr>
        <w:jc w:val="both"/>
        <w:ind w:left="-8" w:firstLine="757"/>
        <w:spacing w:after="0" w:line="26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84"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Erroneously Awarded Compensation</w:t>
      </w: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18"/>
          <w:szCs w:val="18"/>
          <w:color w:val="auto"/>
        </w:rPr>
      </w:pPr>
    </w:p>
    <w:p>
      <w:pPr>
        <w:jc w:val="both"/>
        <w:ind w:left="-8" w:firstLine="757"/>
        <w:spacing w:after="0" w:line="253"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is required to prepare an Accounting Restatement, the Board and/or the CTC shall reasonably promptly (in accordance with the applicable Clawback Rules) determine the amount of any Erroneously Awarded Compensation for each Executive Officer in connection with such Accounting Restatement and shall reasonably promptly thereafter provide each Executive Officer with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Board and/or the CTC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Nasdaq (or another U.S. national securities exchange or national securities association on which the Company’s securities are listed)). The Board and/or the CTC is authorized to engage, on behalf of the Company, any third-party advisors it deems advisable in order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spacing w:after="0" w:line="91" w:lineRule="exact"/>
        <w:rPr>
          <w:rFonts w:ascii="Times New Roman" w:cs="Times New Roman" w:eastAsia="Times New Roman" w:hAnsi="Times New Roman"/>
          <w:sz w:val="18"/>
          <w:szCs w:val="18"/>
          <w:color w:val="auto"/>
        </w:rPr>
      </w:pPr>
    </w:p>
    <w:p>
      <w:pPr>
        <w:jc w:val="both"/>
        <w:ind w:left="-8" w:firstLine="757"/>
        <w:spacing w:after="0" w:line="254"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repayment of Erroneously Awarded Compensation is owed to the Company, the Board and/or the CTC shall, or shall cause the Company to, recover reasonably promptly the Erroneously Awarded Compensation through any Method of Recovery it deems reasonable and appropriate in its discretion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the CTC determines in good faith that recovery would be Impracticable. In implementing the actions contemplated in this Section 4(b), the Board and/or the CTC will act in accordance with the listing standards and requirements of the Nasdaq (or the rules of another U.S. national securities exchange or national securities association on which the Company’s securities are listed) and with the applicable Clawback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459740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2" w:right="339" w:bottom="1440" w:gutter="0" w:footer="0" w:header="0"/>
        </w:sectPr>
      </w:pPr>
    </w:p>
    <w:bookmarkStart w:id="112" w:name="page113"/>
    <w:bookmarkEnd w:id="112"/>
    <w:p>
      <w:pPr>
        <w:ind w:left="-8" w:firstLine="8"/>
        <w:spacing w:after="0" w:line="281" w:lineRule="auto"/>
        <w:tabs>
          <w:tab w:leader="none" w:pos="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requirements of U.S. federal securities laws, including any disclosure required by applicable SEC rules.</w:t>
      </w:r>
    </w:p>
    <w:p>
      <w:pPr>
        <w:spacing w:after="0" w:line="81"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Prohibition</w:t>
      </w:r>
      <w:r>
        <w:rPr>
          <w:rFonts w:ascii="Times New Roman" w:cs="Times New Roman" w:eastAsia="Times New Roman" w:hAnsi="Times New Roman"/>
          <w:sz w:val="18"/>
          <w:szCs w:val="18"/>
          <w:color w:val="auto"/>
        </w:rPr>
        <w:t>. The Company shall not be permitted to indemnify any Executive Officer against the loss of any Erroneously Awarded Compensation that is repaid, returned or recovered pursuant to the terms of this Policy and/or pursuant to the Clawback Rules, including any payment or reimbursement for the cost of third-party insurance purchased by any Executive Officer to cover any such loss under this Policy and/or pursuant to the Clawback Rules. Further, the Company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 Any such purported indemnification (whether oral or in writing) shall be null and void.</w:t>
      </w:r>
    </w:p>
    <w:p>
      <w:pPr>
        <w:spacing w:after="0" w:line="91"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3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Board and/or the CTC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applicable law or regulation.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92"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Policy shall be effective as of October 2, 2023.</w:t>
      </w:r>
    </w:p>
    <w:p>
      <w:pPr>
        <w:spacing w:after="0" w:line="143"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Termination</w:t>
      </w:r>
      <w:r>
        <w:rPr>
          <w:rFonts w:ascii="Times New Roman" w:cs="Times New Roman" w:eastAsia="Times New Roman" w:hAnsi="Times New Roman"/>
          <w:sz w:val="18"/>
          <w:szCs w:val="18"/>
          <w:color w:val="auto"/>
        </w:rPr>
        <w:t>. The Board and/or the CTC may modify or amend this Policy, in whole or in part, from time to time in its discretion and shall amend any or all of the provisions of this Policy as it deems necessary, including as and when it determines that it is legally required by any federal securities law, SEC rule, Nasdaq rule or the rule of any other U.S. national securities exchange or national securities association on which the Company’s securities are listed. The Board and/or the CTC may terminate this Policy at any time, and this Policy shall remain in effect only so long as the Clawback Rules apply to the Company.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Nasdaq rule or the rule of any other U.S. national securities exchange or national securities association on which the Company’s securities are listed. Furthermore, unless otherwise determined by the Board and/or the CTC or as otherwise amended, this Policy shall automatically be deemed amended in a manner necessary to comply with any change in the Clawback Rules.</w:t>
      </w:r>
    </w:p>
    <w:p>
      <w:pPr>
        <w:spacing w:after="0" w:line="96"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3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Recoupment Rights; No Additional Payments</w:t>
      </w:r>
      <w:r>
        <w:rPr>
          <w:rFonts w:ascii="Times New Roman" w:cs="Times New Roman" w:eastAsia="Times New Roman" w:hAnsi="Times New Roman"/>
          <w:sz w:val="18"/>
          <w:szCs w:val="18"/>
          <w:color w:val="auto"/>
        </w:rPr>
        <w:t>. The Board and/or the CTC intends that this Policy will be applied to the fullest extent permitted by applicable law. The Board and/or the CTC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 law, regulation or rule or pursuant to the terms of any similar policy in any employment agreement, cash-based bonus plan, equity award agreement or similar agreement and any other legal remedies available to the Company including but not limited to The ODP Corporation Recoupment Policy.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Board and/or CTC in its sole discretion. Nothing in this Policy precludes the Company from implementing any additional clawback or recoupment policies with respect to Executive Officers. Application of this Policy does not preclude the Company from taking any other action to enforce any Executive Officer’s obligations to the Company, including termination of employment or institution of civil or criminal proceedings or any other remedies that may be available to the Company with respect to any Executive Officer.</w:t>
      </w:r>
    </w:p>
    <w:p>
      <w:pPr>
        <w:spacing w:after="0" w:line="95" w:lineRule="exact"/>
        <w:rPr>
          <w:rFonts w:ascii="Times New Roman" w:cs="Times New Roman" w:eastAsia="Times New Roman" w:hAnsi="Times New Roman"/>
          <w:sz w:val="18"/>
          <w:szCs w:val="18"/>
          <w:color w:val="auto"/>
        </w:rPr>
      </w:pPr>
    </w:p>
    <w:p>
      <w:pPr>
        <w:ind w:left="-8" w:firstLine="8"/>
        <w:spacing w:after="0" w:line="281" w:lineRule="auto"/>
        <w:tabs>
          <w:tab w:leader="none" w:pos="3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Policy shall be binding and enforceable against all Executive Officers and their beneficiaries, estates, heirs, executors, administrators or other legal representatives to the extent required by the Clawback Rules or as otherwise determined by the Board and/or the CTC.</w:t>
      </w:r>
    </w:p>
    <w:p>
      <w:pPr>
        <w:spacing w:after="0" w:line="81" w:lineRule="exact"/>
        <w:rPr>
          <w:rFonts w:ascii="Times New Roman" w:cs="Times New Roman" w:eastAsia="Times New Roman" w:hAnsi="Times New Roman"/>
          <w:sz w:val="18"/>
          <w:szCs w:val="18"/>
          <w:color w:val="auto"/>
        </w:rPr>
      </w:pPr>
    </w:p>
    <w:p>
      <w:pPr>
        <w:ind w:left="52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621030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6"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POLICY FOR THE RECOVERY OF ERRONEOUSLY AWARDED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INCENTIVE-BASED COMPENSATION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executive officer (the “</w:t>
      </w: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 acknowledges and confirms that the Executive Officer has received and reviewed a copy of The ODP Corporation’s Policy for the Recovery of Erroneously Awarded Incentive-Based Compensation (the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Capitalized terms used but not otherwise defined in this Acknowledgement Form (this “</w:t>
      </w:r>
      <w:r>
        <w:rPr>
          <w:rFonts w:ascii="Times New Roman" w:cs="Times New Roman" w:eastAsia="Times New Roman" w:hAnsi="Times New Roman"/>
          <w:sz w:val="18"/>
          <w:szCs w:val="18"/>
          <w:i w:val="1"/>
          <w:iCs w:val="1"/>
          <w:color w:val="auto"/>
        </w:rPr>
        <w:t>Acknowledgement Form</w:t>
      </w:r>
      <w:r>
        <w:rPr>
          <w:rFonts w:ascii="Times New Roman" w:cs="Times New Roman" w:eastAsia="Times New Roman" w:hAnsi="Times New Roman"/>
          <w:sz w:val="18"/>
          <w:szCs w:val="18"/>
          <w:color w:val="auto"/>
        </w:rPr>
        <w:t>”) shall have the meanings ascribed to such terms in the Policy.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this Acknowledgement Form, the Executive Officer acknowledges and agrees as follows:</w:t>
      </w:r>
    </w:p>
    <w:p>
      <w:pPr>
        <w:spacing w:after="0" w:line="130" w:lineRule="exact"/>
        <w:rPr>
          <w:sz w:val="20"/>
          <w:szCs w:val="20"/>
          <w:color w:val="auto"/>
        </w:rPr>
      </w:pPr>
    </w:p>
    <w:p>
      <w:pPr>
        <w:ind w:right="20" w:firstLine="757"/>
        <w:spacing w:after="0" w:line="281"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 is and will continue to be subject to the Policy and that the Policy will apply both during and after the Executive Officer’s employment with the Company;</w:t>
      </w:r>
    </w:p>
    <w:p>
      <w:pPr>
        <w:spacing w:after="0" w:line="81" w:lineRule="exact"/>
        <w:rPr>
          <w:rFonts w:ascii="Times New Roman" w:cs="Times New Roman" w:eastAsia="Times New Roman" w:hAnsi="Times New Roman"/>
          <w:sz w:val="18"/>
          <w:szCs w:val="18"/>
          <w:color w:val="auto"/>
        </w:rPr>
      </w:pPr>
    </w:p>
    <w:p>
      <w:pPr>
        <w:ind w:right="20" w:firstLine="757"/>
        <w:spacing w:after="0" w:line="281"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the Policy, the Policy hereby amends any employment agreement, equity award agreement or similar agreement that the Executive Officer is a party to with the Company;</w:t>
      </w:r>
    </w:p>
    <w:p>
      <w:pPr>
        <w:spacing w:after="0" w:line="68" w:lineRule="exact"/>
        <w:rPr>
          <w:rFonts w:ascii="Times New Roman" w:cs="Times New Roman" w:eastAsia="Times New Roman" w:hAnsi="Times New Roman"/>
          <w:sz w:val="18"/>
          <w:szCs w:val="18"/>
          <w:color w:val="auto"/>
        </w:rPr>
      </w:pPr>
    </w:p>
    <w:p>
      <w:pPr>
        <w:ind w:right="40" w:firstLine="757"/>
        <w:spacing w:after="0" w:line="281"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 shall abide by the terms of the Policy, including, without limitation, by returning any Erroneously Awarded Compensation to the Company to the extent required by, and in a manner permitted by, the Policy;</w:t>
      </w:r>
    </w:p>
    <w:p>
      <w:pPr>
        <w:spacing w:after="0" w:line="68" w:lineRule="exact"/>
        <w:rPr>
          <w:rFonts w:ascii="Times New Roman" w:cs="Times New Roman" w:eastAsia="Times New Roman" w:hAnsi="Times New Roman"/>
          <w:sz w:val="18"/>
          <w:szCs w:val="18"/>
          <w:color w:val="auto"/>
        </w:rPr>
      </w:pPr>
    </w:p>
    <w:p>
      <w:pPr>
        <w:jc w:val="both"/>
        <w:ind w:firstLine="757"/>
        <w:spacing w:after="0" w:line="260"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payable to the Executive Officer, including any compensation that is granted, earned, or vested based wholly or in part upon the attainment of a Financial Reporting Measure or based on the Company and/or any of its affiliates’ performance shall be subject to the Policy as may be in effect and modified from time to time in the sole discretion of the Company or as required by applicable law or the requirements of an exchange on which the Company’s shares are listed for trading, and that such modification will be deemed to amend this acknowledgment;</w:t>
      </w:r>
    </w:p>
    <w:p>
      <w:pPr>
        <w:spacing w:after="0" w:line="100" w:lineRule="exact"/>
        <w:rPr>
          <w:rFonts w:ascii="Times New Roman" w:cs="Times New Roman" w:eastAsia="Times New Roman" w:hAnsi="Times New Roman"/>
          <w:sz w:val="18"/>
          <w:szCs w:val="18"/>
          <w:color w:val="auto"/>
        </w:rPr>
      </w:pPr>
    </w:p>
    <w:p>
      <w:pPr>
        <w:ind w:right="20" w:firstLine="757"/>
        <w:spacing w:after="0" w:line="281"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recover compensation paid to the Executive Officer through any Method of Recovery the Board and/or the CTC deems appropriate, and the Executive Officer agrees to comply with any request or demand for repayment by the Company in order to comply with the Policy;</w:t>
      </w:r>
    </w:p>
    <w:p>
      <w:pPr>
        <w:spacing w:after="0" w:line="68" w:lineRule="exact"/>
        <w:rPr>
          <w:rFonts w:ascii="Times New Roman" w:cs="Times New Roman" w:eastAsia="Times New Roman" w:hAnsi="Times New Roman"/>
          <w:sz w:val="18"/>
          <w:szCs w:val="18"/>
          <w:color w:val="auto"/>
        </w:rPr>
      </w:pPr>
    </w:p>
    <w:p>
      <w:pPr>
        <w:jc w:val="both"/>
        <w:ind w:firstLine="757"/>
        <w:spacing w:after="0" w:line="265"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to the greatest extent permitted by applicable law, reduce any amount that may become payable to the Executive Officer by any amount to be recovered by the Company pursuant to the Policy to the extent such amount has not been returned by the Executive Officer to the Company prior to the date that any subsequent amount becomes payable to the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1027430</wp:posOffset>
            </wp:positionV>
            <wp:extent cx="114109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231140</wp:posOffset>
            </wp:positionV>
            <wp:extent cx="11410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366"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231140</wp:posOffset>
            </wp:positionV>
            <wp:extent cx="114109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3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723900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1"/>
    </w:lvl>
  </w:abstractNum>
  <w:abstractNum w:abstractNumId="15">
    <w:nsid w:val="71F32454"/>
    <w:multiLevelType w:val="hybridMultilevel"/>
    <w:lvl w:ilvl="0">
      <w:lvlJc w:val="left"/>
      <w:lvlText w:val="%1"/>
      <w:numFmt w:val="decimal"/>
      <w:start w:val="97"/>
    </w:lvl>
  </w:abstractNum>
  <w:abstractNum w:abstractNumId="16">
    <w:nsid w:val="2CA88611"/>
    <w:multiLevelType w:val="hybridMultilevel"/>
    <w:lvl w:ilvl="0">
      <w:lvlJc w:val="left"/>
      <w:lvlText w:val="*"/>
      <w:numFmt w:val="bullet"/>
      <w:start w:val="1"/>
    </w:lvl>
    <w:lvl w:ilvl="1">
      <w:lvlJc w:val="left"/>
      <w:lvlText w:val="%2"/>
      <w:numFmt w:val="decimal"/>
      <w:start w:val="104"/>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o"/>
      <w:numFmt w:val="bullet"/>
      <w:start w:val="1"/>
    </w:lvl>
  </w:abstractNum>
  <w:abstractNum w:abstractNumId="19">
    <w:nsid w:val="3A95F874"/>
    <w:multiLevelType w:val="hybridMultilevel"/>
    <w:lvl w:ilvl="0">
      <w:lvlJc w:val="left"/>
      <w:lvlText w:val=" "/>
      <w:numFmt w:val="bullet"/>
      <w:start w:val="1"/>
    </w:lvl>
  </w:abstractNum>
  <w:abstractNum w:abstractNumId="20">
    <w:nsid w:val="8138641"/>
    <w:multiLevelType w:val="hybridMultilevel"/>
    <w:lvl w:ilvl="0">
      <w:lvlJc w:val="left"/>
      <w:lvlText w:val=" "/>
      <w:numFmt w:val="bullet"/>
      <w:start w:val="1"/>
    </w:lvl>
  </w:abstractNum>
  <w:abstractNum w:abstractNumId="21">
    <w:nsid w:val="1E7FF521"/>
    <w:multiLevelType w:val="hybridMultilevel"/>
    <w:lvl w:ilvl="0">
      <w:lvlJc w:val="left"/>
      <w:lvlText w:val=" "/>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o"/>
      <w:numFmt w:val="bullet"/>
      <w:start w:val="1"/>
    </w:lvl>
  </w:abstractNum>
  <w:abstractNum w:abstractNumId="24">
    <w:nsid w:val="6CEAF087"/>
    <w:multiLevelType w:val="hybridMultilevel"/>
    <w:lvl w:ilvl="0">
      <w:lvlJc w:val="left"/>
      <w:lvlText w:val="•"/>
      <w:numFmt w:val="bullet"/>
      <w:start w:val="1"/>
    </w:lvl>
    <w:lvl w:ilvl="1">
      <w:lvlJc w:val="left"/>
      <w:lvlText w:val="o"/>
      <w:numFmt w:val="bullet"/>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3"/>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1"/>
    </w:lvl>
    <w:lvl w:ilvl="1">
      <w:lvlJc w:val="left"/>
      <w:lvlText w:val="%2)"/>
      <w:numFmt w:val="lowerLetter"/>
      <w:start w:val="1"/>
    </w:lvl>
  </w:abstractNum>
  <w:abstractNum w:abstractNumId="32">
    <w:nsid w:val="5072367"/>
    <w:multiLevelType w:val="hybridMultilevel"/>
    <w:lvl w:ilvl="0">
      <w:lvlJc w:val="left"/>
      <w:lvlText w:val="%1."/>
      <w:numFmt w:val="decimal"/>
      <w:start w:val="1"/>
    </w:lvl>
    <w:lvl w:ilvl="1">
      <w:lvlJc w:val="left"/>
      <w:lvlText w:val="%2)"/>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9"/>
    </w:lvl>
  </w:abstractNum>
  <w:abstractNum w:abstractNumId="36">
    <w:nsid w:val="5C482A97"/>
    <w:multiLevelType w:val="hybridMultilevel"/>
    <w:lvl w:ilvl="0">
      <w:lvlJc w:val="left"/>
      <w:lvlText w:val="%1."/>
      <w:numFmt w:val="decimal"/>
      <w:start w:val="3"/>
    </w:lvl>
    <w:lvl w:ilvl="1">
      <w:lvlJc w:val="left"/>
      <w:lvlText w:val="(%2)"/>
      <w:numFmt w:val="lowerLetter"/>
      <w:start w:val="1"/>
    </w:lvl>
  </w:abstractNum>
  <w:abstractNum w:abstractNumId="37">
    <w:nsid w:val="2463B9EA"/>
    <w:multiLevelType w:val="hybridMultilevel"/>
    <w:lvl w:ilvl="0">
      <w:lvlJc w:val="left"/>
      <w:lvlText w:val="%1."/>
      <w:numFmt w:val="decimal"/>
      <w:start w:val="4"/>
    </w:lvl>
    <w:lvl w:ilvl="1">
      <w:lvlJc w:val="left"/>
      <w:lvlText w:val="*"/>
      <w:numFmt w:val="bullet"/>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144" Type="http://schemas.openxmlformats.org/officeDocument/2006/relationships/hyperlink" Target="https://www.sec.gov/Archives/edgar/data/800240/000119312520184552/d45006dex21.htm" TargetMode="External"/><Relationship Id="rId145" Type="http://schemas.openxmlformats.org/officeDocument/2006/relationships/hyperlink" Target="https://www.sec.gov/Archives/edgar/data/800240/000119312520184552/d45006dex31.htm" TargetMode="External"/><Relationship Id="rId146" Type="http://schemas.openxmlformats.org/officeDocument/2006/relationships/hyperlink" Target="https://www.sec.gov/Archives/edgar/data/800240/000156459023002902/odp-ex32_165.htm" TargetMode="External"/><Relationship Id="rId147" Type="http://schemas.openxmlformats.org/officeDocument/2006/relationships/hyperlink" Target="https://www.sec.gov/Archives/edgar/data/800240/000119312520184552/d45006dex33.htm" TargetMode="External"/><Relationship Id="rId148" Type="http://schemas.openxmlformats.org/officeDocument/2006/relationships/hyperlink" Target="https://www.sec.gov/Archives/edgar/data/800240/000119312520184552/d45006dex42.htm" TargetMode="External"/><Relationship Id="rId149" Type="http://schemas.openxmlformats.org/officeDocument/2006/relationships/hyperlink" Target="https://www.sec.gov/Archives/edgar/data/800240/000156459023002902/odp-ex42_6.htm" TargetMode="External"/><Relationship Id="rId150" Type="http://schemas.openxmlformats.org/officeDocument/2006/relationships/hyperlink" Target="https://www.sec.gov/Archives/edgar/data/800240/000119312519080774/d684674ddef14a.htm" TargetMode="External"/><Relationship Id="rId151" Type="http://schemas.openxmlformats.org/officeDocument/2006/relationships/hyperlink" Target="https://www.sec.gov/Archives/edgar/data/800240/000119312517232125/d424891dex991.htm" TargetMode="External"/><Relationship Id="rId152" Type="http://schemas.openxmlformats.org/officeDocument/2006/relationships/hyperlink" Target="https://www.sec.gov/Archives/edgar/data/800240/000119312520111592/d918751dex101.htm" TargetMode="External"/><Relationship Id="rId153" Type="http://schemas.openxmlformats.org/officeDocument/2006/relationships/hyperlink" Target="https://www.sec.gov/Archives/edgar/data/800240/000119312517232125/d424891dex994.htm" TargetMode="External"/><Relationship Id="rId154" Type="http://schemas.openxmlformats.org/officeDocument/2006/relationships/hyperlink" Target="https://www.sec.gov/Archives/edgar/data/800240/000119312517232125/d424891dex995.htm" TargetMode="External"/><Relationship Id="rId155" Type="http://schemas.openxmlformats.org/officeDocument/2006/relationships/hyperlink" Target="https://www.sec.gov/Archives/edgar/data/800240/000119312517232125/d424891dex996.htm" TargetMode="External"/><Relationship Id="rId156" Type="http://schemas.openxmlformats.org/officeDocument/2006/relationships/hyperlink" Target="https://www.sec.gov/Archives/edgar/data/800240/000119312517022620/d335771dex101.htm" TargetMode="External"/><Relationship Id="rId157" Type="http://schemas.openxmlformats.org/officeDocument/2006/relationships/hyperlink" Target="https://www.sec.gov/Archives/edgar/data/800240/000119312517022620/d335771dex102.htm" TargetMode="External"/><Relationship Id="rId158" Type="http://schemas.openxmlformats.org/officeDocument/2006/relationships/hyperlink" Target="https://www.sec.gov/Archives/edgar/data/800240/000119312517022620/d335771dex103.htm" TargetMode="External"/><Relationship Id="rId162" Type="http://schemas.openxmlformats.org/officeDocument/2006/relationships/hyperlink" Target="https://www.sec.gov/Archives/edgar/data/800240/000119312515228174/d942583dex993.htm" TargetMode="External"/><Relationship Id="rId165" Type="http://schemas.openxmlformats.org/officeDocument/2006/relationships/hyperlink" Target="https://www.sec.gov/Archives/edgar/data/800240/000119312514300630/d771499dex101.htm" TargetMode="External"/><Relationship Id="rId168" Type="http://schemas.openxmlformats.org/officeDocument/2006/relationships/hyperlink" Target="https://www.sec.gov/Archives/edgar/data/800240/000156459022006232/odp-ex1012_38.htm" TargetMode="External"/><Relationship Id="rId171" Type="http://schemas.openxmlformats.org/officeDocument/2006/relationships/hyperlink" Target="https://www.sec.gov/Archives/edgar/data/800240/000119312518062066/d532920dex1063.htm" TargetMode="External"/><Relationship Id="rId174" Type="http://schemas.openxmlformats.org/officeDocument/2006/relationships/hyperlink" Target="https://www.sec.gov/Archives/edgar/data/800240/000119312519141600/d726618dex104.htm" TargetMode="External"/><Relationship Id="rId177" Type="http://schemas.openxmlformats.org/officeDocument/2006/relationships/hyperlink" Target="https://www.sec.gov/Archives/edgar/data/800240/000119312519141600/d726618dex105.htm" TargetMode="External"/><Relationship Id="rId180" Type="http://schemas.openxmlformats.org/officeDocument/2006/relationships/hyperlink" Target="https://www.sec.gov/Archives/edgar/data/800240/000119312519141600/d726618dex106.htm" TargetMode="External"/><Relationship Id="rId183" Type="http://schemas.openxmlformats.org/officeDocument/2006/relationships/hyperlink" Target="https://www.sec.gov/Archives/edgar/data/800240/000156459020029814/odp-ex101_64.htm" TargetMode="External"/><Relationship Id="rId186" Type="http://schemas.openxmlformats.org/officeDocument/2006/relationships/hyperlink" Target="https://www.sec.gov/Archives/edgar/data/800240/000156459020051285/odp-ex102_11.htm" TargetMode="External"/><Relationship Id="rId190" Type="http://schemas.openxmlformats.org/officeDocument/2006/relationships/hyperlink" Target="https://www.sec.gov/Archives/edgar/data/800240/000119312520184552/d45006dex101.htm" TargetMode="External"/><Relationship Id="rId193" Type="http://schemas.openxmlformats.org/officeDocument/2006/relationships/hyperlink" Target="https://www.sec.gov/Archives/edgar/data/800240/000119312521017040/d98789dex101.htm" TargetMode="External"/><Relationship Id="rId196" Type="http://schemas.openxmlformats.org/officeDocument/2006/relationships/hyperlink" Target="https://www.sec.gov/Archives/edgar/data/800240/000119312522312846/d422587dex101.htm" TargetMode="External"/><Relationship Id="rId200" Type="http://schemas.openxmlformats.org/officeDocument/2006/relationships/hyperlink" Target="https://www.sec.gov/Archives/edgar/data/800240/000119312522000219/d281362dex101.htm" TargetMode="External"/><Relationship Id="rId204" Type="http://schemas.openxmlformats.org/officeDocument/2006/relationships/hyperlink" Target="https://www.sec.gov/Archives/edgar/data/800240/000119312521079726/d24358ddef14a.htm" TargetMode="External"/><Relationship Id="rId207" Type="http://schemas.openxmlformats.org/officeDocument/2006/relationships/hyperlink" Target="https://www.sec.gov/Archives/edgar/data/0000800240/000119312521124690/d318914dex102.htm" TargetMode="External"/><Relationship Id="rId210" Type="http://schemas.openxmlformats.org/officeDocument/2006/relationships/hyperlink" Target="https://www.sec.gov/Archives/edgar/data/0000800240/000119312521124690/d318914dex103.htm" TargetMode="External"/><Relationship Id="rId213" Type="http://schemas.openxmlformats.org/officeDocument/2006/relationships/hyperlink" Target="https://www.sec.gov/Archives/edgar/data/0000800240/000119312521124690/d318914dex104.htm" TargetMode="External"/><Relationship Id="rId216" Type="http://schemas.openxmlformats.org/officeDocument/2006/relationships/hyperlink" Target="https://www.sec.gov/Archives/edgar/data/0000800240/000119312521124690/d318914dex105.htm" TargetMode="External"/><Relationship Id="rId219" Type="http://schemas.openxmlformats.org/officeDocument/2006/relationships/hyperlink" Target="https://www.sec.gov/Archives/edgar/data/0000800240/000119312521124690/d318914dex106.htm" TargetMode="External"/><Relationship Id="rId222" Type="http://schemas.openxmlformats.org/officeDocument/2006/relationships/hyperlink" Target="https://www.sec.gov/Archives/edgar/data/800240/000156459021053934/odp-ex101_11.htm" TargetMode="External"/><Relationship Id="rId229" Type="http://schemas.openxmlformats.org/officeDocument/2006/relationships/hyperlink" Target="https://www.sec.gov/Archives/edgar/data/800240/000156459022006232/odp-ex1030_41.htm" TargetMode="External"/><Relationship Id="rId233" Type="http://schemas.openxmlformats.org/officeDocument/2006/relationships/hyperlink" Target="https://www.sec.gov/Archives/edgar/data/800240/000119312523069175/d478071dex101.htm" TargetMode="External"/><Relationship Id="rId237" Type="http://schemas.openxmlformats.org/officeDocument/2006/relationships/hyperlink" Target="https://www.sec.gov/Archives/edgar/data/800240/000119312523094133/d455161dex101.htm" TargetMode="External"/><Relationship Id="rId242" Type="http://schemas.openxmlformats.org/officeDocument/2006/relationships/hyperlink" Target="https://www.sec.gov/Archives/edgar/data/800240/000095017023040543/od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2024-02-28T13:33:42Z</dcterms:created>
  <dcterms:modified xsi:type="dcterms:W3CDTF">2024-02-28T13:33:42Z</dcterms:modified>
</cp:coreProperties>
</file>