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 (d) of the Securities Exchange Act of 1934</w:t>
      </w:r>
    </w:p>
    <w:p>
      <w:pPr>
        <w:spacing w:after="0" w:line="49" w:lineRule="exact"/>
        <w:rPr>
          <w:rFonts w:ascii="MS PGothic" w:cs="MS PGothic" w:eastAsia="MS PGothic" w:hAnsi="MS PGothic"/>
          <w:sz w:val="20"/>
          <w:szCs w:val="20"/>
          <w:color w:val="auto"/>
          <w:highlight w:val="black"/>
        </w:rPr>
      </w:pPr>
    </w:p>
    <w:p>
      <w:pPr>
        <w:ind w:left="382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18"/>
          <w:szCs w:val="18"/>
          <w:b w:val="1"/>
          <w:bCs w:val="1"/>
          <w:color w:val="auto"/>
        </w:rPr>
        <w:t>For the quarterly period ended March 30, 2024</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2"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 (d) of the Securities Exchange Act of 1934</w:t>
      </w:r>
    </w:p>
    <w:p>
      <w:pPr>
        <w:spacing w:after="0" w:line="62" w:lineRule="exact"/>
        <w:rPr>
          <w:rFonts w:ascii="MS PGothic" w:cs="MS PGothic" w:eastAsia="MS PGothic" w:hAnsi="MS PGothic"/>
          <w:sz w:val="20"/>
          <w:szCs w:val="20"/>
          <w:color w:val="auto"/>
          <w:highlight w:val="black"/>
        </w:rPr>
      </w:pPr>
    </w:p>
    <w:p>
      <w:pPr>
        <w:ind w:left="346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18"/>
          <w:szCs w:val="18"/>
          <w:b w:val="1"/>
          <w:bCs w:val="1"/>
          <w:color w:val="auto"/>
        </w:rPr>
        <w:t>For the transition period from __ __ __ __to __ __ __ __</w:t>
      </w:r>
    </w:p>
    <w:p>
      <w:pPr>
        <w:spacing w:after="0" w:line="58" w:lineRule="exact"/>
        <w:rPr>
          <w:rFonts w:ascii="MS PGothic" w:cs="MS PGothic" w:eastAsia="MS PGothic" w:hAnsi="MS PGothic"/>
          <w:sz w:val="20"/>
          <w:szCs w:val="20"/>
          <w:color w:val="auto"/>
          <w:highlight w:val="black"/>
        </w:rPr>
      </w:pPr>
    </w:p>
    <w:p>
      <w:pPr>
        <w:ind w:left="4320"/>
        <w:spacing w:after="0"/>
        <w:rPr>
          <w:rFonts w:ascii="MS PGothic" w:cs="MS PGothic" w:eastAsia="MS PGothic" w:hAnsi="MS PGothic"/>
          <w:sz w:val="20"/>
          <w:szCs w:val="20"/>
          <w:color w:val="auto"/>
          <w:highlight w:val="black"/>
        </w:rPr>
      </w:pPr>
      <w:r>
        <w:rPr>
          <w:rFonts w:ascii="Times New Roman" w:cs="Times New Roman" w:eastAsia="Times New Roman" w:hAnsi="Times New Roman"/>
          <w:sz w:val="18"/>
          <w:szCs w:val="18"/>
          <w:b w:val="1"/>
          <w:bCs w:val="1"/>
          <w:color w:val="auto"/>
        </w:rPr>
        <w:t>Commission File Number 1-10948</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The ODP Corporation</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141605</wp:posOffset>
            </wp:positionV>
            <wp:extent cx="1234440"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960" w:type="dxa"/>
        <w:tblCellMar>
          <w:top w:w="0" w:type="dxa"/>
          <w:left w:w="0" w:type="dxa"/>
          <w:bottom w:w="0" w:type="dxa"/>
          <w:right w:w="0" w:type="dxa"/>
        </w:tblCellMar>
      </w:tblPr>
      <w:tr>
        <w:trPr>
          <w:trHeight w:val="238"/>
        </w:trPr>
        <w:tc>
          <w:tcPr>
            <w:tcW w:w="5160" w:type="dxa"/>
            <w:vAlign w:val="bottom"/>
          </w:tcPr>
          <w:p>
            <w:pPr>
              <w:jc w:val="center"/>
              <w:ind w:right="12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2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85-1457062</w:t>
            </w:r>
          </w:p>
        </w:tc>
      </w:tr>
      <w:tr>
        <w:trPr>
          <w:trHeight w:val="193"/>
        </w:trPr>
        <w:tc>
          <w:tcPr>
            <w:tcW w:w="5160" w:type="dxa"/>
            <w:vAlign w:val="bottom"/>
          </w:tcPr>
          <w:p>
            <w:pPr>
              <w:jc w:val="center"/>
              <w:ind w:right="123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420" w:type="dxa"/>
            <w:vAlign w:val="bottom"/>
          </w:tcPr>
          <w:p>
            <w:pPr>
              <w:jc w:val="center"/>
              <w:ind w:left="12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577"/>
        </w:trPr>
        <w:tc>
          <w:tcPr>
            <w:tcW w:w="5160" w:type="dxa"/>
            <w:vAlign w:val="bottom"/>
          </w:tcPr>
          <w:p>
            <w:pPr>
              <w:jc w:val="center"/>
              <w:ind w:right="1259"/>
              <w:spacing w:after="0"/>
              <w:rPr>
                <w:sz w:val="20"/>
                <w:szCs w:val="20"/>
                <w:color w:val="auto"/>
              </w:rPr>
            </w:pPr>
            <w:r>
              <w:rPr>
                <w:rFonts w:ascii="Times New Roman" w:cs="Times New Roman" w:eastAsia="Times New Roman" w:hAnsi="Times New Roman"/>
                <w:sz w:val="18"/>
                <w:szCs w:val="18"/>
                <w:b w:val="1"/>
                <w:bCs w:val="1"/>
                <w:color w:val="auto"/>
                <w:w w:val="99"/>
              </w:rPr>
              <w:t>6600 North Military Trail, Boca Raton, Florida</w:t>
            </w:r>
          </w:p>
        </w:tc>
        <w:tc>
          <w:tcPr>
            <w:tcW w:w="342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33496</w:t>
            </w:r>
          </w:p>
        </w:tc>
      </w:tr>
      <w:tr>
        <w:trPr>
          <w:trHeight w:val="193"/>
        </w:trPr>
        <w:tc>
          <w:tcPr>
            <w:tcW w:w="5160" w:type="dxa"/>
            <w:vAlign w:val="bottom"/>
          </w:tcPr>
          <w:p>
            <w:pPr>
              <w:jc w:val="center"/>
              <w:ind w:right="12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20" w:type="dxa"/>
            <w:vAlign w:val="bottom"/>
          </w:tcPr>
          <w:p>
            <w:pPr>
              <w:jc w:val="center"/>
              <w:ind w:left="123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 438-4800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Trading</w:t>
            </w:r>
          </w:p>
        </w:tc>
        <w:tc>
          <w:tcPr>
            <w:tcW w:w="120" w:type="dxa"/>
            <w:vAlign w:val="bottom"/>
          </w:tcPr>
          <w:p>
            <w:pPr>
              <w:spacing w:after="0"/>
              <w:rPr>
                <w:sz w:val="13"/>
                <w:szCs w:val="13"/>
                <w:color w:val="auto"/>
              </w:rPr>
            </w:pPr>
          </w:p>
        </w:tc>
        <w:tc>
          <w:tcPr>
            <w:tcW w:w="4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185"/>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Symbol(s)</w:t>
            </w:r>
          </w:p>
        </w:tc>
        <w:tc>
          <w:tcPr>
            <w:tcW w:w="120" w:type="dxa"/>
            <w:vAlign w:val="bottom"/>
          </w:tcPr>
          <w:p>
            <w:pPr>
              <w:spacing w:after="0"/>
              <w:rPr>
                <w:sz w:val="16"/>
                <w:szCs w:val="16"/>
                <w:color w:val="auto"/>
              </w:rPr>
            </w:pPr>
          </w:p>
        </w:tc>
        <w:tc>
          <w:tcPr>
            <w:tcW w:w="4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ODP</w:t>
            </w:r>
          </w:p>
        </w:tc>
        <w:tc>
          <w:tcPr>
            <w:tcW w:w="120" w:type="dxa"/>
            <w:vAlign w:val="bottom"/>
          </w:tcPr>
          <w:p>
            <w:pPr>
              <w:spacing w:after="0"/>
              <w:rPr>
                <w:sz w:val="16"/>
                <w:szCs w:val="16"/>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w:t>
            </w:r>
          </w:p>
        </w:tc>
        <w:tc>
          <w:tcPr>
            <w:tcW w:w="0" w:type="dxa"/>
            <w:vAlign w:val="bottom"/>
          </w:tcPr>
          <w:p>
            <w:pPr>
              <w:spacing w:after="0"/>
              <w:rPr>
                <w:sz w:val="1"/>
                <w:szCs w:val="1"/>
                <w:color w:val="auto"/>
              </w:rPr>
            </w:pPr>
          </w:p>
        </w:tc>
      </w:tr>
      <w:tr>
        <w:trPr>
          <w:trHeight w:val="212"/>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83" w:right="339" w:bottom="1440" w:gutter="0" w:footer="0" w:header="0"/>
        </w:sectPr>
      </w:pPr>
    </w:p>
    <w:p>
      <w:pPr>
        <w:spacing w:after="0" w:line="10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6">
            <w:col w:w="2320" w:space="720"/>
            <w:col w:w="160" w:space="580"/>
            <w:col w:w="2280" w:space="720"/>
            <w:col w:w="160" w:space="580"/>
            <w:col w:w="2280" w:space="720"/>
            <w:col w:w="720"/>
          </w:cols>
          <w:pgMar w:left="320" w:top="1083" w:right="339" w:bottom="1440" w:gutter="0" w:footer="0" w:header="0"/>
          <w:type w:val="continuous"/>
        </w:sectPr>
      </w:pPr>
    </w:p>
    <w:p>
      <w:pPr>
        <w:spacing w:after="0" w:line="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1" w:lineRule="exact"/>
        <w:rPr>
          <w:sz w:val="24"/>
          <w:szCs w:val="24"/>
          <w:color w:val="auto"/>
        </w:rPr>
      </w:pPr>
    </w:p>
    <w:p>
      <w:pPr>
        <w:sectPr>
          <w:pgSz w:w="11900" w:h="16838" w:orient="portrait"/>
          <w:cols w:equalWidth="0" w:num="4">
            <w:col w:w="2320" w:space="720"/>
            <w:col w:w="160" w:space="580"/>
            <w:col w:w="2280" w:space="720"/>
            <w:col w:w="4460"/>
          </w:cols>
          <w:pgMar w:left="320" w:top="1083" w:right="339" w:bottom="1440" w:gutter="0" w:footer="0" w:header="0"/>
          <w:type w:val="continuous"/>
        </w:sect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number of shares outstanding of the registrant’s common stock, as of the latest practicable date: At May 1, 2024, there were 35,894,892 outstanding shares of The ODP Corporation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9"/>
          <w:szCs w:val="29"/>
          <w:b w:val="1"/>
          <w:bCs w:val="1"/>
          <w:color w:val="auto"/>
        </w:rPr>
        <w:t>TABLE OF CONTENTS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order and presentation of this Quarterly Report on Form 10-Q differ from that of the traditional U.S. Securities and Exchange Commission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 format. We believe that our format better presents the relevant sections of this document and enhances readability. See “Form 10-Q Cross-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Index” within Other Information for a cross-reference index to the traditional SEC Form 10-Q format.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8520" w:type="dxa"/>
            <w:vAlign w:val="bottom"/>
            <w:tcBorders>
              <w:bottom w:val="single" w:sz="8" w:color="auto"/>
            </w:tcBorders>
            <w:gridSpan w:val="20"/>
          </w:tcPr>
          <w:p>
            <w:pPr>
              <w:ind w:left="20"/>
              <w:spacing w:after="0"/>
              <w:rPr>
                <w:sz w:val="20"/>
                <w:szCs w:val="20"/>
                <w:color w:val="auto"/>
              </w:rPr>
            </w:pPr>
            <w:r>
              <w:rPr>
                <w:rFonts w:ascii="Times New Roman" w:cs="Times New Roman" w:eastAsia="Times New Roman" w:hAnsi="Times New Roman"/>
                <w:sz w:val="25"/>
                <w:szCs w:val="25"/>
                <w:color w:val="auto"/>
              </w:rPr>
              <w:t>Financial Statements</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185"/>
        </w:trPr>
        <w:tc>
          <w:tcPr>
            <w:tcW w:w="680" w:type="dxa"/>
            <w:vAlign w:val="bottom"/>
          </w:tcPr>
          <w:p>
            <w:pPr>
              <w:spacing w:after="0"/>
              <w:rPr>
                <w:sz w:val="16"/>
                <w:szCs w:val="16"/>
                <w:color w:val="auto"/>
              </w:rPr>
            </w:pPr>
          </w:p>
        </w:tc>
        <w:tc>
          <w:tcPr>
            <w:tcW w:w="7840" w:type="dxa"/>
            <w:vAlign w:val="bottom"/>
            <w:gridSpan w:val="19"/>
          </w:tcPr>
          <w:p>
            <w:pPr>
              <w:spacing w:after="0" w:line="185"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27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355"/>
        </w:trPr>
        <w:tc>
          <w:tcPr>
            <w:tcW w:w="8520" w:type="dxa"/>
            <w:vAlign w:val="bottom"/>
            <w:tcBorders>
              <w:bottom w:val="single" w:sz="8" w:color="auto"/>
            </w:tcBorders>
            <w:gridSpan w:val="20"/>
          </w:tcPr>
          <w:p>
            <w:pPr>
              <w:ind w:left="20"/>
              <w:spacing w:after="0"/>
              <w:rPr>
                <w:sz w:val="20"/>
                <w:szCs w:val="20"/>
                <w:color w:val="auto"/>
              </w:rPr>
            </w:pPr>
            <w:r>
              <w:rPr>
                <w:rFonts w:ascii="Times New Roman" w:cs="Times New Roman" w:eastAsia="Times New Roman" w:hAnsi="Times New Roman"/>
                <w:sz w:val="25"/>
                <w:szCs w:val="25"/>
                <w:color w:val="auto"/>
              </w:rPr>
              <w:t>Management’s Discussion and Analysis (MD&amp;A)</w:t>
            </w:r>
          </w:p>
        </w:tc>
        <w:tc>
          <w:tcPr>
            <w:tcW w:w="2720" w:type="dxa"/>
            <w:vAlign w:val="bottom"/>
            <w:tcBorders>
              <w:bottom w:val="single" w:sz="8" w:color="auto"/>
            </w:tcBorders>
          </w:tcPr>
          <w:p>
            <w:pPr>
              <w:spacing w:after="0"/>
              <w:rPr>
                <w:sz w:val="24"/>
                <w:szCs w:val="24"/>
                <w:color w:val="auto"/>
              </w:rPr>
            </w:pPr>
          </w:p>
        </w:tc>
      </w:tr>
      <w:tr>
        <w:trPr>
          <w:trHeight w:val="185"/>
        </w:trPr>
        <w:tc>
          <w:tcPr>
            <w:tcW w:w="680" w:type="dxa"/>
            <w:vAlign w:val="bottom"/>
          </w:tcPr>
          <w:p>
            <w:pPr>
              <w:spacing w:after="0"/>
              <w:rPr>
                <w:sz w:val="16"/>
                <w:szCs w:val="16"/>
                <w:color w:val="auto"/>
              </w:rPr>
            </w:pPr>
          </w:p>
        </w:tc>
        <w:tc>
          <w:tcPr>
            <w:tcW w:w="7840" w:type="dxa"/>
            <w:vAlign w:val="bottom"/>
            <w:gridSpan w:val="19"/>
          </w:tcPr>
          <w:p>
            <w:pPr>
              <w:spacing w:after="0" w:line="185" w:lineRule="exact"/>
              <w:rPr>
                <w:sz w:val="20"/>
                <w:szCs w:val="20"/>
                <w:color w:val="auto"/>
              </w:rPr>
            </w:pPr>
            <w:r>
              <w:rPr>
                <w:rFonts w:ascii="Times New Roman" w:cs="Times New Roman" w:eastAsia="Times New Roman" w:hAnsi="Times New Roman"/>
                <w:sz w:val="18"/>
                <w:szCs w:val="18"/>
                <w:color w:val="0000FF"/>
              </w:rPr>
              <w:t>Overview</w:t>
            </w:r>
          </w:p>
        </w:tc>
        <w:tc>
          <w:tcPr>
            <w:tcW w:w="27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Operating Results by Division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Liquidity and Capital Resources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New Accounting Standards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Critical Accounting Policies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355"/>
        </w:trPr>
        <w:tc>
          <w:tcPr>
            <w:tcW w:w="8520" w:type="dxa"/>
            <w:vAlign w:val="bottom"/>
            <w:tcBorders>
              <w:bottom w:val="single" w:sz="8" w:color="auto"/>
            </w:tcBorders>
            <w:gridSpan w:val="20"/>
          </w:tcPr>
          <w:p>
            <w:pPr>
              <w:ind w:left="20"/>
              <w:spacing w:after="0"/>
              <w:rPr>
                <w:sz w:val="20"/>
                <w:szCs w:val="20"/>
                <w:color w:val="auto"/>
              </w:rPr>
            </w:pPr>
            <w:r>
              <w:rPr>
                <w:rFonts w:ascii="Times New Roman" w:cs="Times New Roman" w:eastAsia="Times New Roman" w:hAnsi="Times New Roman"/>
                <w:sz w:val="25"/>
                <w:szCs w:val="25"/>
                <w:color w:val="auto"/>
              </w:rPr>
              <w:t>Other Information</w:t>
            </w:r>
          </w:p>
        </w:tc>
        <w:tc>
          <w:tcPr>
            <w:tcW w:w="2720" w:type="dxa"/>
            <w:vAlign w:val="bottom"/>
            <w:tcBorders>
              <w:bottom w:val="single" w:sz="8" w:color="auto"/>
            </w:tcBorders>
          </w:tcPr>
          <w:p>
            <w:pPr>
              <w:spacing w:after="0"/>
              <w:rPr>
                <w:sz w:val="24"/>
                <w:szCs w:val="24"/>
                <w:color w:val="auto"/>
              </w:rPr>
            </w:pPr>
          </w:p>
        </w:tc>
      </w:tr>
      <w:tr>
        <w:trPr>
          <w:trHeight w:val="185"/>
        </w:trPr>
        <w:tc>
          <w:tcPr>
            <w:tcW w:w="680" w:type="dxa"/>
            <w:vAlign w:val="bottom"/>
          </w:tcPr>
          <w:p>
            <w:pPr>
              <w:spacing w:after="0"/>
              <w:rPr>
                <w:sz w:val="16"/>
                <w:szCs w:val="16"/>
                <w:color w:val="auto"/>
              </w:rPr>
            </w:pPr>
          </w:p>
        </w:tc>
        <w:tc>
          <w:tcPr>
            <w:tcW w:w="7840" w:type="dxa"/>
            <w:vAlign w:val="bottom"/>
            <w:gridSpan w:val="19"/>
          </w:tcPr>
          <w:p>
            <w:pPr>
              <w:spacing w:after="0" w:line="18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20" w:type="dxa"/>
            <w:vAlign w:val="bottom"/>
          </w:tcPr>
          <w:p>
            <w:pPr>
              <w:jc w:val="right"/>
              <w:spacing w:after="0" w:line="185"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3500" w:type="dxa"/>
            <w:vAlign w:val="bottom"/>
            <w:tcBorders>
              <w:left w:val="single" w:sz="8" w:color="0000FF"/>
            </w:tcBorders>
            <w:gridSpan w:val="6"/>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gridSpan w:val="6"/>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6"/>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5340" w:type="dxa"/>
            <w:vAlign w:val="bottom"/>
            <w:gridSpan w:val="8"/>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60" w:type="dxa"/>
            <w:vAlign w:val="bottom"/>
            <w:gridSpan w:val="8"/>
          </w:tcPr>
          <w:p>
            <w:pPr>
              <w:spacing w:after="0" w:line="20" w:lineRule="exact"/>
              <w:rPr>
                <w:sz w:val="1"/>
                <w:szCs w:val="1"/>
                <w:color w:val="auto"/>
              </w:rPr>
            </w:pPr>
          </w:p>
        </w:tc>
        <w:tc>
          <w:tcPr>
            <w:tcW w:w="5340" w:type="dxa"/>
            <w:vAlign w:val="bottom"/>
            <w:gridSpan w:val="8"/>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Form 10-Q Cross-Reference Index</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1760" w:type="dxa"/>
            <w:vAlign w:val="bottom"/>
            <w:gridSpan w:val="8"/>
            <w:shd w:val="clear" w:color="auto" w:fill="0000FF"/>
          </w:tcPr>
          <w:p>
            <w:pPr>
              <w:spacing w:after="0" w:line="20" w:lineRule="exact"/>
              <w:rPr>
                <w:sz w:val="1"/>
                <w:szCs w:val="1"/>
                <w:color w:val="auto"/>
              </w:rPr>
            </w:pPr>
          </w:p>
        </w:tc>
        <w:tc>
          <w:tcPr>
            <w:tcW w:w="5340" w:type="dxa"/>
            <w:vAlign w:val="bottom"/>
            <w:gridSpan w:val="8"/>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680" w:type="dxa"/>
            <w:vAlign w:val="bottom"/>
          </w:tcPr>
          <w:p>
            <w:pPr>
              <w:spacing w:after="0"/>
              <w:rPr>
                <w:sz w:val="19"/>
                <w:szCs w:val="19"/>
                <w:color w:val="auto"/>
              </w:rPr>
            </w:pPr>
          </w:p>
        </w:tc>
        <w:tc>
          <w:tcPr>
            <w:tcW w:w="7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682"/>
        </w:trPr>
        <w:tc>
          <w:tcPr>
            <w:tcW w:w="680" w:type="dxa"/>
            <w:vAlign w:val="bottom"/>
          </w:tcPr>
          <w:p>
            <w:pPr>
              <w:spacing w:after="0"/>
              <w:rPr>
                <w:sz w:val="24"/>
                <w:szCs w:val="24"/>
                <w:color w:val="auto"/>
              </w:rPr>
            </w:pPr>
          </w:p>
        </w:tc>
        <w:tc>
          <w:tcPr>
            <w:tcW w:w="740" w:type="dxa"/>
            <w:vAlign w:val="bottom"/>
            <w:tcBorders>
              <w:top w:val="single" w:sz="8" w:color="0000FF"/>
            </w:tcBorders>
            <w:gridSpan w:val="3"/>
          </w:tcPr>
          <w:p>
            <w:pPr>
              <w:spacing w:after="0"/>
              <w:rPr>
                <w:sz w:val="24"/>
                <w:szCs w:val="24"/>
                <w:color w:val="auto"/>
              </w:rPr>
            </w:pPr>
          </w:p>
        </w:tc>
        <w:tc>
          <w:tcPr>
            <w:tcW w:w="4560" w:type="dxa"/>
            <w:vAlign w:val="bottom"/>
            <w:gridSpan w:val="14"/>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763"/>
        </w:trPr>
        <w:tc>
          <w:tcPr>
            <w:tcW w:w="6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6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7160" w:type="dxa"/>
            <w:vAlign w:val="bottom"/>
          </w:tcPr>
          <w:p>
            <w:pPr>
              <w:spacing w:after="0"/>
              <w:rPr>
                <w:sz w:val="13"/>
                <w:szCs w:val="13"/>
                <w:color w:val="auto"/>
              </w:rPr>
            </w:pPr>
          </w:p>
        </w:tc>
        <w:tc>
          <w:tcPr>
            <w:tcW w:w="1360" w:type="dxa"/>
            <w:vAlign w:val="bottom"/>
          </w:tcPr>
          <w:p>
            <w:pPr>
              <w:jc w:val="right"/>
              <w:ind w:right="41"/>
              <w:spacing w:after="0" w:line="158"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20" w:type="dxa"/>
            <w:vAlign w:val="bottom"/>
          </w:tcPr>
          <w:p>
            <w:pPr>
              <w:jc w:val="right"/>
              <w:ind w:right="600"/>
              <w:spacing w:after="0" w:line="158"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00" w:type="dxa"/>
            <w:vAlign w:val="bottom"/>
          </w:tcPr>
          <w:p>
            <w:pPr>
              <w:spacing w:after="0"/>
              <w:rPr>
                <w:sz w:val="13"/>
                <w:szCs w:val="13"/>
                <w:color w:val="auto"/>
              </w:rPr>
            </w:pPr>
          </w:p>
        </w:tc>
      </w:tr>
      <w:tr>
        <w:trPr>
          <w:trHeight w:val="187"/>
        </w:trPr>
        <w:tc>
          <w:tcPr>
            <w:tcW w:w="7160" w:type="dxa"/>
            <w:vAlign w:val="bottom"/>
          </w:tcPr>
          <w:p>
            <w:pPr>
              <w:spacing w:after="0"/>
              <w:rPr>
                <w:sz w:val="16"/>
                <w:szCs w:val="16"/>
                <w:color w:val="auto"/>
              </w:rPr>
            </w:pPr>
          </w:p>
        </w:tc>
        <w:tc>
          <w:tcPr>
            <w:tcW w:w="1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1360" w:type="dxa"/>
            <w:vAlign w:val="bottom"/>
            <w:shd w:val="clear" w:color="auto" w:fill="CFF0FC"/>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100" w:type="dxa"/>
            <w:vAlign w:val="bottom"/>
            <w:shd w:val="clear" w:color="auto" w:fill="CFF0FC"/>
          </w:tcPr>
          <w:p>
            <w:pPr>
              <w:spacing w:after="0"/>
              <w:rPr>
                <w:sz w:val="19"/>
                <w:szCs w:val="19"/>
                <w:color w:val="auto"/>
              </w:rPr>
            </w:pP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and occupancy costs</w:t>
            </w:r>
          </w:p>
        </w:tc>
        <w:tc>
          <w:tcPr>
            <w:tcW w:w="1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00" w:type="dxa"/>
            <w:vAlign w:val="bottom"/>
          </w:tcPr>
          <w:p>
            <w:pPr>
              <w:spacing w:after="0"/>
              <w:rPr>
                <w:sz w:val="19"/>
                <w:szCs w:val="19"/>
                <w:color w:val="auto"/>
              </w:rPr>
            </w:pPr>
          </w:p>
        </w:tc>
      </w:tr>
      <w:tr>
        <w:trPr>
          <w:trHeight w:val="230"/>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Gross profit</w:t>
            </w:r>
          </w:p>
        </w:tc>
        <w:tc>
          <w:tcPr>
            <w:tcW w:w="13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FF0FC"/>
          </w:tcPr>
          <w:p>
            <w:pPr>
              <w:spacing w:after="0"/>
              <w:rPr>
                <w:sz w:val="19"/>
                <w:szCs w:val="19"/>
                <w:color w:val="auto"/>
              </w:rPr>
            </w:pP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9"/>
                <w:szCs w:val="19"/>
                <w:color w:val="auto"/>
              </w:rPr>
            </w:pPr>
          </w:p>
        </w:tc>
      </w:tr>
      <w:tr>
        <w:trPr>
          <w:trHeight w:val="239"/>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 impairments</w:t>
            </w:r>
          </w:p>
        </w:tc>
        <w:tc>
          <w:tcPr>
            <w:tcW w:w="136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0"/>
                <w:szCs w:val="20"/>
                <w:color w:val="auto"/>
              </w:rPr>
            </w:pP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Merger and restructuring expenses, net</w:t>
            </w: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Operating income</w:t>
            </w:r>
          </w:p>
        </w:tc>
        <w:tc>
          <w:tcPr>
            <w:tcW w:w="136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shd w:val="clear" w:color="auto" w:fill="CFF0FC"/>
          </w:tcPr>
          <w:p>
            <w:pPr>
              <w:spacing w:after="0"/>
              <w:rPr>
                <w:sz w:val="19"/>
                <w:szCs w:val="19"/>
                <w:color w:val="auto"/>
              </w:rPr>
            </w:pPr>
          </w:p>
        </w:tc>
      </w:tr>
      <w:tr>
        <w:trPr>
          <w:trHeight w:val="220"/>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136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20"/>
                <w:szCs w:val="20"/>
                <w:color w:val="auto"/>
              </w:rPr>
            </w:pPr>
          </w:p>
        </w:tc>
      </w:tr>
      <w:tr>
        <w:trPr>
          <w:trHeight w:val="220"/>
        </w:trPr>
        <w:tc>
          <w:tcPr>
            <w:tcW w:w="7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136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(4 )</w:t>
            </w:r>
          </w:p>
        </w:tc>
        <w:tc>
          <w:tcPr>
            <w:tcW w:w="5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(5 )</w:t>
            </w:r>
          </w:p>
        </w:tc>
      </w:tr>
      <w:tr>
        <w:trPr>
          <w:trHeight w:val="233"/>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income, net</w:t>
            </w:r>
          </w:p>
        </w:tc>
        <w:tc>
          <w:tcPr>
            <w:tcW w:w="13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20"/>
                <w:szCs w:val="20"/>
                <w:color w:val="auto"/>
              </w:rPr>
            </w:pPr>
          </w:p>
        </w:tc>
      </w:tr>
      <w:tr>
        <w:trPr>
          <w:trHeight w:val="220"/>
        </w:trPr>
        <w:tc>
          <w:tcPr>
            <w:tcW w:w="71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3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tcBorders>
              <w:top w:val="single" w:sz="8" w:color="CFF0FC"/>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Borders>
              <w:top w:val="single" w:sz="8" w:color="CFF0FC"/>
            </w:tcBorders>
          </w:tcPr>
          <w:p>
            <w:pPr>
              <w:spacing w:after="0"/>
              <w:rPr>
                <w:sz w:val="19"/>
                <w:szCs w:val="19"/>
                <w:color w:val="auto"/>
              </w:rPr>
            </w:pPr>
          </w:p>
        </w:tc>
      </w:tr>
      <w:tr>
        <w:trPr>
          <w:trHeight w:val="233"/>
        </w:trPr>
        <w:tc>
          <w:tcPr>
            <w:tcW w:w="7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36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7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r>
      <w:tr>
        <w:trPr>
          <w:trHeight w:val="233"/>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Discontinued operations, net of tax</w:t>
            </w:r>
          </w:p>
        </w:tc>
        <w:tc>
          <w:tcPr>
            <w:tcW w:w="13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1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360" w:type="dxa"/>
            <w:vAlign w:val="bottom"/>
            <w:tcBorders>
              <w:top w:val="single" w:sz="8" w:color="auto"/>
              <w:bottom w:val="single" w:sz="8" w:color="auto"/>
            </w:tcBorders>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Borders>
              <w:top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top w:val="single" w:sz="8" w:color="CFF0FC"/>
            </w:tcBorders>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13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Continuing operations</w:t>
            </w:r>
          </w:p>
        </w:tc>
        <w:tc>
          <w:tcPr>
            <w:tcW w:w="1360" w:type="dxa"/>
            <w:vAlign w:val="bottom"/>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28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9"/>
                <w:szCs w:val="19"/>
                <w:color w:val="auto"/>
              </w:rPr>
            </w:pPr>
          </w:p>
        </w:tc>
      </w:tr>
      <w:tr>
        <w:trPr>
          <w:trHeight w:val="236"/>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Discontinued operations</w:t>
            </w:r>
          </w:p>
        </w:tc>
        <w:tc>
          <w:tcPr>
            <w:tcW w:w="13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71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Net basic earnings per share</w:t>
            </w:r>
          </w:p>
        </w:tc>
        <w:tc>
          <w:tcPr>
            <w:tcW w:w="1360" w:type="dxa"/>
            <w:vAlign w:val="bottom"/>
            <w:tcBorders>
              <w:top w:val="single" w:sz="8" w:color="auto"/>
              <w:bottom w:val="single" w:sz="8" w:color="auto"/>
            </w:tcBorders>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280" w:type="dxa"/>
            <w:vAlign w:val="bottom"/>
            <w:tcBorders>
              <w:top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top w:val="single" w:sz="8" w:color="CFF0FC"/>
            </w:tcBorders>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3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0"/>
        </w:trPr>
        <w:tc>
          <w:tcPr>
            <w:tcW w:w="7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Continuing operations</w:t>
            </w:r>
          </w:p>
        </w:tc>
        <w:tc>
          <w:tcPr>
            <w:tcW w:w="1360" w:type="dxa"/>
            <w:vAlign w:val="bottom"/>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280" w:type="dxa"/>
            <w:vAlign w:val="bottom"/>
          </w:tcPr>
          <w:p>
            <w:pPr>
              <w:spacing w:after="0"/>
              <w:rPr>
                <w:sz w:val="19"/>
                <w:szCs w:val="19"/>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9"/>
                <w:szCs w:val="19"/>
                <w:color w:val="auto"/>
              </w:rPr>
            </w:pPr>
          </w:p>
        </w:tc>
      </w:tr>
      <w:tr>
        <w:trPr>
          <w:trHeight w:val="236"/>
        </w:trPr>
        <w:tc>
          <w:tcPr>
            <w:tcW w:w="7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Discontinued operations</w:t>
            </w:r>
          </w:p>
        </w:tc>
        <w:tc>
          <w:tcPr>
            <w:tcW w:w="13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71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Net diluted earnings per share</w:t>
            </w:r>
          </w:p>
        </w:tc>
        <w:tc>
          <w:tcPr>
            <w:tcW w:w="1360" w:type="dxa"/>
            <w:vAlign w:val="bottom"/>
            <w:tcBorders>
              <w:top w:val="single" w:sz="8" w:color="auto"/>
              <w:bottom w:val="single" w:sz="8" w:color="auto"/>
            </w:tcBorders>
          </w:tcPr>
          <w:p>
            <w:pPr>
              <w:jc w:val="right"/>
              <w:ind w:right="11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280" w:type="dxa"/>
            <w:vAlign w:val="bottom"/>
            <w:tcBorders>
              <w:top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top w:val="single" w:sz="8" w:color="CFF0FC"/>
            </w:tcBorders>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-2013585</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-2013585</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-1713865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-1413510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-796290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-179070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This report should be read in conjunction with the Notes to Condensed Consolidated Financial Statements herein and the Notes to Consolidated Financial Statements in The ODP Corporation Annual Report on Form 10-K filed on February 28, 2024 (the “2023 Form 10-K”).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740" w:type="dxa"/>
            <w:vAlign w:val="bottom"/>
          </w:tcPr>
          <w:p>
            <w:pPr>
              <w:spacing w:after="0"/>
              <w:rPr>
                <w:sz w:val="11"/>
                <w:szCs w:val="11"/>
                <w:color w:val="auto"/>
              </w:rPr>
            </w:pPr>
          </w:p>
        </w:tc>
        <w:tc>
          <w:tcPr>
            <w:tcW w:w="114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jc w:val="right"/>
              <w:ind w:right="462"/>
              <w:spacing w:after="0" w:line="13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740" w:type="dxa"/>
            <w:vAlign w:val="bottom"/>
          </w:tcPr>
          <w:p>
            <w:pPr>
              <w:spacing w:after="0"/>
              <w:rPr>
                <w:sz w:val="16"/>
                <w:szCs w:val="16"/>
                <w:color w:val="auto"/>
              </w:rPr>
            </w:pPr>
          </w:p>
        </w:tc>
        <w:tc>
          <w:tcPr>
            <w:tcW w:w="11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shd w:val="clear" w:color="auto" w:fill="CFF0FC"/>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income/(loss), net of tax, where applicable:</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(4 )</w:t>
            </w: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 in deferred pension</w:t>
            </w: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other comprehensive income/(loss), net of tax, where</w:t>
            </w:r>
          </w:p>
        </w:tc>
        <w:tc>
          <w:tcPr>
            <w:tcW w:w="1140" w:type="dxa"/>
            <w:vAlign w:val="bottom"/>
            <w:shd w:val="clear" w:color="auto" w:fill="CFF0FC"/>
          </w:tcPr>
          <w:p>
            <w:pPr>
              <w:spacing w:after="0"/>
              <w:rPr>
                <w:sz w:val="17"/>
                <w:szCs w:val="17"/>
                <w:color w:val="auto"/>
              </w:rPr>
            </w:pPr>
          </w:p>
        </w:tc>
        <w:tc>
          <w:tcPr>
            <w:tcW w:w="7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(3 )</w:t>
            </w:r>
          </w:p>
        </w:tc>
        <w:tc>
          <w:tcPr>
            <w:tcW w:w="46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applicable</w:t>
            </w:r>
          </w:p>
        </w:tc>
        <w:tc>
          <w:tcPr>
            <w:tcW w:w="1140" w:type="dxa"/>
            <w:vAlign w:val="bottom"/>
            <w:shd w:val="clear" w:color="auto" w:fill="CFF0FC"/>
          </w:tcPr>
          <w:p>
            <w:pPr>
              <w:spacing w:after="0"/>
              <w:rPr>
                <w:sz w:val="18"/>
                <w:szCs w:val="18"/>
                <w:color w:val="auto"/>
              </w:rPr>
            </w:pPr>
          </w:p>
        </w:tc>
        <w:tc>
          <w:tcPr>
            <w:tcW w:w="700" w:type="dxa"/>
            <w:vAlign w:val="bottom"/>
            <w:gridSpan w:val="2"/>
            <w:vMerge w:val="continue"/>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140" w:type="dxa"/>
            <w:vAlign w:val="bottom"/>
            <w:tcBorders>
              <w:top w:val="single" w:sz="8" w:color="auto"/>
              <w:bottom w:val="single" w:sz="8" w:color="auto"/>
            </w:tcBorders>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Borders>
              <w:top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-179070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5" w:lineRule="exact"/>
        <w:rPr>
          <w:sz w:val="20"/>
          <w:szCs w:val="20"/>
          <w:color w:val="auto"/>
        </w:rPr>
      </w:pPr>
    </w:p>
    <w:p>
      <w:pPr>
        <w:jc w:val="both"/>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This report should be read in conjunction with the Notes to Condensed Consolidated Financial Statements herein and the Notes to Consolidated Financial Statements in the 2023 Form 10-K.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2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0" w:type="dxa"/>
            <w:vAlign w:val="bottom"/>
          </w:tcPr>
          <w:p>
            <w:pPr>
              <w:spacing w:after="0"/>
              <w:rPr>
                <w:sz w:val="1"/>
                <w:szCs w:val="1"/>
                <w:color w:val="auto"/>
              </w:rPr>
            </w:pPr>
          </w:p>
        </w:tc>
      </w:tr>
      <w:tr>
        <w:trPr>
          <w:trHeight w:val="187"/>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Receivables, net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Trade 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26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long-term liabilities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and postretirement obligations, net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Contingencies (Note 10)</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 authorized 80,000,000 shares of $0.01 par value; issued shares —</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66,958,689 at March 30, 2024 and 66,700,292 at December 30, 2023;</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outstanding shares — 36,260,932 at March 30, 2024 and 36,959,377 at</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December 30, 2023</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(117 )</w:t>
            </w:r>
          </w:p>
        </w:tc>
        <w:tc>
          <w:tcPr>
            <w:tcW w:w="22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(114 )</w:t>
            </w:r>
          </w:p>
        </w:tc>
        <w:tc>
          <w:tcPr>
            <w:tcW w:w="0" w:type="dxa"/>
            <w:vAlign w:val="bottom"/>
          </w:tcPr>
          <w:p>
            <w:pPr>
              <w:spacing w:after="0"/>
              <w:rPr>
                <w:sz w:val="1"/>
                <w:szCs w:val="1"/>
                <w:color w:val="auto"/>
              </w:rPr>
            </w:pPr>
          </w:p>
        </w:tc>
      </w:tr>
      <w:tr>
        <w:trPr>
          <w:trHeight w:val="239"/>
        </w:trPr>
        <w:tc>
          <w:tcPr>
            <w:tcW w:w="7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(297 )</w:t>
            </w:r>
          </w:p>
        </w:tc>
        <w:tc>
          <w:tcPr>
            <w:tcW w:w="2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(312 )</w:t>
            </w:r>
          </w:p>
        </w:tc>
        <w:tc>
          <w:tcPr>
            <w:tcW w:w="0" w:type="dxa"/>
            <w:vAlign w:val="bottom"/>
          </w:tcPr>
          <w:p>
            <w:pPr>
              <w:spacing w:after="0"/>
              <w:rPr>
                <w:sz w:val="1"/>
                <w:szCs w:val="1"/>
                <w:color w:val="auto"/>
              </w:rPr>
            </w:pPr>
          </w:p>
        </w:tc>
      </w:tr>
      <w:tr>
        <w:trPr>
          <w:trHeight w:val="202"/>
        </w:trPr>
        <w:tc>
          <w:tcPr>
            <w:tcW w:w="7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Treasury stock, at cost — 30,697,757 shares at March 30, 2024 and 29,740,915</w:t>
            </w:r>
          </w:p>
        </w:tc>
        <w:tc>
          <w:tcPr>
            <w:tcW w:w="260" w:type="dxa"/>
            <w:vAlign w:val="bottom"/>
          </w:tcPr>
          <w:p>
            <w:pPr>
              <w:spacing w:after="0"/>
              <w:rPr>
                <w:sz w:val="17"/>
                <w:szCs w:val="17"/>
                <w:color w:val="auto"/>
              </w:rPr>
            </w:pPr>
          </w:p>
        </w:tc>
        <w:tc>
          <w:tcPr>
            <w:tcW w:w="1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(1,276 )</w:t>
            </w:r>
          </w:p>
        </w:tc>
        <w:tc>
          <w:tcPr>
            <w:tcW w:w="220" w:type="dxa"/>
            <w:vAlign w:val="bottom"/>
          </w:tcPr>
          <w:p>
            <w:pPr>
              <w:spacing w:after="0"/>
              <w:rPr>
                <w:sz w:val="17"/>
                <w:szCs w:val="17"/>
                <w:color w:val="auto"/>
              </w:rPr>
            </w:pPr>
          </w:p>
        </w:tc>
        <w:tc>
          <w:tcPr>
            <w:tcW w:w="14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(1,226 )</w:t>
            </w:r>
          </w:p>
        </w:tc>
        <w:tc>
          <w:tcPr>
            <w:tcW w:w="0" w:type="dxa"/>
            <w:vAlign w:val="bottom"/>
          </w:tcPr>
          <w:p>
            <w:pPr>
              <w:spacing w:after="0"/>
              <w:rPr>
                <w:sz w:val="1"/>
                <w:szCs w:val="1"/>
                <w:color w:val="auto"/>
              </w:rPr>
            </w:pPr>
          </w:p>
        </w:tc>
      </w:tr>
      <w:tr>
        <w:trPr>
          <w:trHeight w:val="213"/>
        </w:trPr>
        <w:tc>
          <w:tcPr>
            <w:tcW w:w="7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shares at December 30, 2023</w:t>
            </w:r>
          </w:p>
        </w:tc>
        <w:tc>
          <w:tcPr>
            <w:tcW w:w="26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5928360</wp:posOffset>
            </wp:positionH>
            <wp:positionV relativeFrom="paragraph">
              <wp:posOffset>-4843145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-4843145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-3659505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-3642995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-3659505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-3642995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-2759710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-1868170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-179705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This report should be read in conjunction with the Notes to Condensed Consolidated Financial Statements herein and the Notes to Consolidated Financial Statements in the 2023 Form 10-K.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7820" w:type="dxa"/>
            <w:vAlign w:val="bottom"/>
          </w:tcPr>
          <w:p>
            <w:pPr>
              <w:spacing w:after="0"/>
              <w:rPr>
                <w:sz w:val="13"/>
                <w:szCs w:val="13"/>
                <w:color w:val="auto"/>
              </w:rPr>
            </w:pPr>
          </w:p>
        </w:tc>
        <w:tc>
          <w:tcPr>
            <w:tcW w:w="110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jc w:val="right"/>
              <w:ind w:right="439"/>
              <w:spacing w:after="0" w:line="158"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00" w:type="dxa"/>
            <w:vAlign w:val="bottom"/>
          </w:tcPr>
          <w:p>
            <w:pPr>
              <w:spacing w:after="0"/>
              <w:rPr>
                <w:sz w:val="13"/>
                <w:szCs w:val="13"/>
                <w:color w:val="auto"/>
              </w:rPr>
            </w:pPr>
          </w:p>
        </w:tc>
      </w:tr>
      <w:tr>
        <w:trPr>
          <w:trHeight w:val="187"/>
        </w:trPr>
        <w:tc>
          <w:tcPr>
            <w:tcW w:w="7820" w:type="dxa"/>
            <w:vAlign w:val="bottom"/>
          </w:tcPr>
          <w:p>
            <w:pPr>
              <w:spacing w:after="0"/>
              <w:rPr>
                <w:sz w:val="16"/>
                <w:szCs w:val="16"/>
                <w:color w:val="auto"/>
              </w:rPr>
            </w:pPr>
          </w:p>
        </w:tc>
        <w:tc>
          <w:tcPr>
            <w:tcW w:w="11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Pr>
          <w:p>
            <w:pPr>
              <w:jc w:val="right"/>
              <w:ind w:right="94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r>
      <w:tr>
        <w:trPr>
          <w:trHeight w:val="233"/>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1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8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1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Borders>
              <w:top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top w:val="single" w:sz="8" w:color="CFF0FC"/>
            </w:tcBorders>
          </w:tcPr>
          <w:p>
            <w:pPr>
              <w:spacing w:after="0"/>
              <w:rPr>
                <w:sz w:val="19"/>
                <w:szCs w:val="19"/>
                <w:color w:val="auto"/>
              </w:rPr>
            </w:pPr>
          </w:p>
        </w:tc>
      </w:tr>
      <w:tr>
        <w:trPr>
          <w:trHeight w:val="230"/>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r>
      <w:tr>
        <w:trPr>
          <w:trHeight w:val="239"/>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1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20"/>
                <w:szCs w:val="20"/>
                <w:color w:val="auto"/>
              </w:rPr>
            </w:pPr>
          </w:p>
        </w:tc>
      </w:tr>
      <w:tr>
        <w:trPr>
          <w:trHeight w:val="220"/>
        </w:trPr>
        <w:tc>
          <w:tcPr>
            <w:tcW w:w="7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Charges for losses on receivables and inventories</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r>
      <w:tr>
        <w:trPr>
          <w:trHeight w:val="239"/>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Asset impairments</w:t>
            </w:r>
          </w:p>
        </w:tc>
        <w:tc>
          <w:tcPr>
            <w:tcW w:w="11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0"/>
                <w:szCs w:val="20"/>
                <w:color w:val="auto"/>
              </w:rPr>
            </w:pPr>
          </w:p>
        </w:tc>
      </w:tr>
      <w:tr>
        <w:trPr>
          <w:trHeight w:val="220"/>
        </w:trPr>
        <w:tc>
          <w:tcPr>
            <w:tcW w:w="7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 on disposition of assets, net</w:t>
            </w:r>
          </w:p>
        </w:tc>
        <w:tc>
          <w:tcPr>
            <w:tcW w:w="110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r>
      <w:tr>
        <w:trPr>
          <w:trHeight w:val="239"/>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Compensation expense for share-based payments</w:t>
            </w:r>
          </w:p>
        </w:tc>
        <w:tc>
          <w:tcPr>
            <w:tcW w:w="11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20"/>
                <w:szCs w:val="20"/>
                <w:color w:val="auto"/>
              </w:rPr>
            </w:pPr>
          </w:p>
        </w:tc>
      </w:tr>
      <w:tr>
        <w:trPr>
          <w:trHeight w:val="220"/>
        </w:trPr>
        <w:tc>
          <w:tcPr>
            <w:tcW w:w="78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income taxes and deferred tax asset valuation allowances</w:t>
            </w:r>
          </w:p>
        </w:tc>
        <w:tc>
          <w:tcPr>
            <w:tcW w:w="1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(8 )</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r>
      <w:tr>
        <w:trPr>
          <w:trHeight w:val="233"/>
        </w:trPr>
        <w:tc>
          <w:tcPr>
            <w:tcW w:w="7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Changes in working capital and other operating activities</w:t>
            </w:r>
          </w:p>
        </w:tc>
        <w:tc>
          <w:tcPr>
            <w:tcW w:w="1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(24 )</w:t>
            </w: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20"/>
                <w:szCs w:val="20"/>
                <w:color w:val="auto"/>
              </w:rPr>
            </w:pPr>
          </w:p>
        </w:tc>
      </w:tr>
      <w:tr>
        <w:trPr>
          <w:trHeight w:val="220"/>
        </w:trPr>
        <w:tc>
          <w:tcPr>
            <w:tcW w:w="782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 of continuing operations</w:t>
            </w:r>
          </w:p>
        </w:tc>
        <w:tc>
          <w:tcPr>
            <w:tcW w:w="1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top w:val="single" w:sz="8" w:color="CFF0FC"/>
            </w:tcBorders>
          </w:tcPr>
          <w:p>
            <w:pPr>
              <w:spacing w:after="0"/>
              <w:rPr>
                <w:sz w:val="19"/>
                <w:szCs w:val="19"/>
                <w:color w:val="auto"/>
              </w:rPr>
            </w:pPr>
          </w:p>
        </w:tc>
      </w:tr>
      <w:tr>
        <w:trPr>
          <w:trHeight w:val="233"/>
        </w:trPr>
        <w:tc>
          <w:tcPr>
            <w:tcW w:w="7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operating activities of discontinued operations</w:t>
            </w:r>
          </w:p>
        </w:tc>
        <w:tc>
          <w:tcPr>
            <w:tcW w:w="1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820" w:type="dxa"/>
            <w:vAlign w:val="bottom"/>
            <w:tcBorders>
              <w:top w:val="single" w:sz="8" w:color="CFF0FC"/>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tcBorders>
              <w:top w:val="single" w:sz="8" w:color="CFF0FC"/>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top w:val="single" w:sz="8" w:color="CFF0FC"/>
            </w:tcBorders>
          </w:tcPr>
          <w:p>
            <w:pPr>
              <w:spacing w:after="0"/>
              <w:rPr>
                <w:sz w:val="19"/>
                <w:szCs w:val="19"/>
                <w:color w:val="auto"/>
              </w:rPr>
            </w:pPr>
          </w:p>
        </w:tc>
      </w:tr>
      <w:tr>
        <w:trPr>
          <w:trHeight w:val="230"/>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Capital expenditures</w:t>
            </w:r>
          </w:p>
        </w:tc>
        <w:tc>
          <w:tcPr>
            <w:tcW w:w="1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(35 )</w:t>
            </w:r>
          </w:p>
        </w:tc>
        <w:tc>
          <w:tcPr>
            <w:tcW w:w="4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(27 )</w:t>
            </w:r>
          </w:p>
        </w:tc>
      </w:tr>
      <w:tr>
        <w:trPr>
          <w:trHeight w:val="239"/>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Businesses acquired, net of cash acquired</w:t>
            </w:r>
          </w:p>
        </w:tc>
        <w:tc>
          <w:tcPr>
            <w:tcW w:w="1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(10 )</w:t>
            </w:r>
          </w:p>
        </w:tc>
      </w:tr>
      <w:tr>
        <w:trPr>
          <w:trHeight w:val="223"/>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disposition of assets</w:t>
            </w: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30"/>
        </w:trPr>
        <w:tc>
          <w:tcPr>
            <w:tcW w:w="7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 of continuing operations</w:t>
            </w:r>
          </w:p>
        </w:tc>
        <w:tc>
          <w:tcPr>
            <w:tcW w:w="1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(34 )</w:t>
            </w:r>
          </w:p>
        </w:tc>
        <w:tc>
          <w:tcPr>
            <w:tcW w:w="4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(36 )</w:t>
            </w:r>
          </w:p>
        </w:tc>
      </w:tr>
      <w:tr>
        <w:trPr>
          <w:trHeight w:val="223"/>
        </w:trPr>
        <w:tc>
          <w:tcPr>
            <w:tcW w:w="78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investing activities of discontinued operations</w:t>
            </w: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r>
      <w:tr>
        <w:trPr>
          <w:trHeight w:val="223"/>
        </w:trPr>
        <w:tc>
          <w:tcPr>
            <w:tcW w:w="78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(34 )</w:t>
            </w:r>
          </w:p>
        </w:tc>
        <w:tc>
          <w:tcPr>
            <w:tcW w:w="4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(31 )</w:t>
            </w:r>
          </w:p>
        </w:tc>
      </w:tr>
      <w:tr>
        <w:trPr>
          <w:trHeight w:val="221"/>
        </w:trPr>
        <w:tc>
          <w:tcPr>
            <w:tcW w:w="7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8"/>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payments on long and short-term borrowings</w:t>
            </w:r>
          </w:p>
        </w:tc>
        <w:tc>
          <w:tcPr>
            <w:tcW w:w="1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(3 )</w:t>
            </w:r>
          </w:p>
        </w:tc>
        <w:tc>
          <w:tcPr>
            <w:tcW w:w="4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(5 )</w:t>
            </w:r>
          </w:p>
        </w:tc>
      </w:tr>
      <w:tr>
        <w:trPr>
          <w:trHeight w:val="220"/>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Debt retirement</w:t>
            </w:r>
          </w:p>
        </w:tc>
        <w:tc>
          <w:tcPr>
            <w:tcW w:w="1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(128 )</w:t>
            </w:r>
          </w:p>
        </w:tc>
        <w:tc>
          <w:tcPr>
            <w:tcW w:w="4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(60 )</w:t>
            </w:r>
          </w:p>
        </w:tc>
      </w:tr>
      <w:tr>
        <w:trPr>
          <w:trHeight w:val="239"/>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Debt issuance</w:t>
            </w:r>
          </w:p>
        </w:tc>
        <w:tc>
          <w:tcPr>
            <w:tcW w:w="11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FF0FC"/>
          </w:tcPr>
          <w:p>
            <w:pPr>
              <w:spacing w:after="0"/>
              <w:rPr>
                <w:sz w:val="20"/>
                <w:szCs w:val="20"/>
                <w:color w:val="auto"/>
              </w:rPr>
            </w:pPr>
          </w:p>
        </w:tc>
      </w:tr>
      <w:tr>
        <w:trPr>
          <w:trHeight w:val="220"/>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 purchases for taxes, net of proceeds from employee share-based transactions</w:t>
            </w:r>
          </w:p>
        </w:tc>
        <w:tc>
          <w:tcPr>
            <w:tcW w:w="1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(6 )</w:t>
            </w:r>
          </w:p>
        </w:tc>
        <w:tc>
          <w:tcPr>
            <w:tcW w:w="4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(19 )</w:t>
            </w:r>
          </w:p>
        </w:tc>
      </w:tr>
      <w:tr>
        <w:trPr>
          <w:trHeight w:val="239"/>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Repurchase of common stock for treasury</w:t>
            </w:r>
          </w:p>
        </w:tc>
        <w:tc>
          <w:tcPr>
            <w:tcW w:w="11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(50 )</w:t>
            </w:r>
          </w:p>
        </w:tc>
        <w:tc>
          <w:tcPr>
            <w:tcW w:w="4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(201 )</w:t>
            </w:r>
          </w:p>
        </w:tc>
      </w:tr>
      <w:tr>
        <w:trPr>
          <w:trHeight w:val="220"/>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(1 )</w:t>
            </w:r>
          </w:p>
        </w:tc>
        <w:tc>
          <w:tcPr>
            <w:tcW w:w="4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78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78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 of continuing operations</w:t>
            </w:r>
          </w:p>
        </w:tc>
        <w:tc>
          <w:tcPr>
            <w:tcW w:w="1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(113 )</w:t>
            </w:r>
          </w:p>
        </w:tc>
        <w:tc>
          <w:tcPr>
            <w:tcW w:w="4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(185 )</w:t>
            </w:r>
          </w:p>
        </w:tc>
      </w:tr>
      <w:tr>
        <w:trPr>
          <w:trHeight w:val="220"/>
        </w:trPr>
        <w:tc>
          <w:tcPr>
            <w:tcW w:w="78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financing activities of discontinued operations</w:t>
            </w:r>
          </w:p>
        </w:tc>
        <w:tc>
          <w:tcPr>
            <w:tcW w:w="110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78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(113 )</w:t>
            </w:r>
          </w:p>
        </w:tc>
        <w:tc>
          <w:tcPr>
            <w:tcW w:w="4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(185 )</w:t>
            </w:r>
          </w:p>
        </w:tc>
      </w:tr>
      <w:tr>
        <w:trPr>
          <w:trHeight w:val="23"/>
        </w:trPr>
        <w:tc>
          <w:tcPr>
            <w:tcW w:w="7820" w:type="dxa"/>
            <w:vAlign w:val="bottom"/>
            <w:shd w:val="clear" w:color="auto" w:fill="CFF0F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cash equivalents and restricted cash</w:t>
            </w:r>
          </w:p>
        </w:tc>
        <w:tc>
          <w:tcPr>
            <w:tcW w:w="1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(1 )</w:t>
            </w:r>
          </w:p>
        </w:tc>
        <w:tc>
          <w:tcPr>
            <w:tcW w:w="4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
        </w:trPr>
        <w:tc>
          <w:tcPr>
            <w:tcW w:w="78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1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(110 )</w:t>
            </w:r>
          </w:p>
        </w:tc>
        <w:tc>
          <w:tcPr>
            <w:tcW w:w="4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(59 )</w:t>
            </w:r>
          </w:p>
        </w:tc>
      </w:tr>
      <w:tr>
        <w:trPr>
          <w:trHeight w:val="223"/>
        </w:trPr>
        <w:tc>
          <w:tcPr>
            <w:tcW w:w="78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Pr>
          <w:p>
            <w:pPr>
              <w:spacing w:after="0"/>
              <w:rPr>
                <w:sz w:val="19"/>
                <w:szCs w:val="19"/>
                <w:color w:val="auto"/>
              </w:rPr>
            </w:pPr>
          </w:p>
        </w:tc>
      </w:tr>
      <w:tr>
        <w:trPr>
          <w:trHeight w:val="263"/>
        </w:trPr>
        <w:tc>
          <w:tcPr>
            <w:tcW w:w="78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100" w:type="dxa"/>
            <w:vAlign w:val="bottom"/>
            <w:tcBorders>
              <w:bottom w:val="single" w:sz="8" w:color="auto"/>
            </w:tcBorders>
            <w:shd w:val="clear" w:color="auto" w:fill="CFF0FC"/>
          </w:tcPr>
          <w:p>
            <w:pPr>
              <w:jc w:val="right"/>
              <w:ind w:right="94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28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8"/>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information on non-cash investing and financing activities</w:t>
            </w: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1100" w:type="dxa"/>
            <w:vAlign w:val="bottom"/>
            <w:shd w:val="clear" w:color="auto" w:fill="CFF0FC"/>
          </w:tcPr>
          <w:p>
            <w:pPr>
              <w:jc w:val="right"/>
              <w:ind w:right="943"/>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FF0FC"/>
          </w:tcPr>
          <w:p>
            <w:pPr>
              <w:spacing w:after="0"/>
              <w:rPr>
                <w:sz w:val="20"/>
                <w:szCs w:val="20"/>
                <w:color w:val="auto"/>
              </w:rPr>
            </w:pPr>
          </w:p>
        </w:tc>
      </w:tr>
      <w:tr>
        <w:trPr>
          <w:trHeight w:val="220"/>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Right-of-use assets obtained in exchange for new finance lease liabilities</w:t>
            </w: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interest paid, net of amounts capitalized and non-recourse debt</w:t>
            </w:r>
          </w:p>
        </w:tc>
        <w:tc>
          <w:tcPr>
            <w:tcW w:w="11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0"/>
                <w:szCs w:val="20"/>
                <w:color w:val="auto"/>
              </w:rPr>
            </w:pPr>
          </w:p>
        </w:tc>
      </w:tr>
      <w:tr>
        <w:trPr>
          <w:trHeight w:val="210"/>
        </w:trPr>
        <w:tc>
          <w:tcPr>
            <w:tcW w:w="78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taxes paid, net</w:t>
            </w: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-5799455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-5799455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-4324985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-4324985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-4024630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-4024630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-2824480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-2824480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-1350010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-1350010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-741680</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-724535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-741680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-724535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This report should be read in conjunction with the Notes to Condensed Consolidated Financial Statements herein and the Notes to Consolidated Financial Statements in the 2023 Form 10-K.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13 Weeks Ended March 30, 2024</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60" w:type="dxa"/>
            <w:vAlign w:val="bottom"/>
          </w:tcPr>
          <w:p>
            <w:pPr>
              <w:spacing w:after="0"/>
              <w:rPr>
                <w:sz w:val="12"/>
                <w:szCs w:val="12"/>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0"/>
              </w:rPr>
              <w:t>ve</w:t>
            </w: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30, 2023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66,700,292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2,752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(114 )</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(312 )</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(1,226 )</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c>
          <w:tcPr>
            <w:tcW w:w="3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02"/>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and release of incentive stock</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(including income tax benefits and</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withholding)</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(6 )</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12"/>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long-term incentive</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 grants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(50 )</w:t>
            </w: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33"/>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30, 2024</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66,958,689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2,758</w:t>
            </w:r>
          </w:p>
        </w:tc>
        <w:tc>
          <w:tcPr>
            <w:tcW w:w="120" w:type="dxa"/>
            <w:vAlign w:val="bottom"/>
          </w:tcPr>
          <w:p>
            <w:pPr>
              <w:spacing w:after="0"/>
              <w:rPr>
                <w:sz w:val="18"/>
                <w:szCs w:val="18"/>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(117 )</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(297 )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(1,276 )</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50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13 Weeks Ended April 1, 2023</w:t>
            </w: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3"/>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w:t>
            </w:r>
          </w:p>
        </w:tc>
        <w:tc>
          <w:tcPr>
            <w:tcW w:w="11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60" w:type="dxa"/>
            <w:vAlign w:val="bottom"/>
          </w:tcPr>
          <w:p>
            <w:pPr>
              <w:spacing w:after="0"/>
              <w:rPr>
                <w:sz w:val="12"/>
                <w:szCs w:val="12"/>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8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0"/>
              </w:rPr>
              <w:t>ve</w:t>
            </w: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65,636,015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(77 )</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(451 )</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(928 )</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and release of incentive stock</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(including income tax benefits and</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withholding)</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812,978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(19 )</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2"/>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long-term incentive</w:t>
            </w: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 grants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(202 )</w:t>
            </w:r>
          </w:p>
        </w:tc>
        <w:tc>
          <w:tcPr>
            <w:tcW w:w="26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(202 )</w:t>
            </w: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3"/>
        </w:trPr>
        <w:tc>
          <w:tcPr>
            <w:tcW w:w="3500" w:type="dxa"/>
            <w:vAlign w:val="bottom"/>
            <w:shd w:val="clear" w:color="auto" w:fill="CFF0F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April 1, 2023</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66,448,993</w:t>
            </w: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120" w:type="dxa"/>
            <w:vAlign w:val="bottom"/>
          </w:tcPr>
          <w:p>
            <w:pPr>
              <w:spacing w:after="0"/>
              <w:rPr>
                <w:sz w:val="18"/>
                <w:szCs w:val="18"/>
                <w:color w:val="auto"/>
              </w:rPr>
            </w:pPr>
          </w:p>
        </w:tc>
        <w:tc>
          <w:tcPr>
            <w:tcW w:w="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(75 )</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(379 )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(1,131 )</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-2457450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-2457450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-2457450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-2457450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-2457450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-2457450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-2457450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-142875</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-142875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-142875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-142875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-142875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-142875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-142875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This report should be read in conjunction with the Notes to Condensed Consolidated Financial Statements herein and the Notes to Consolidated Financial Statements in the 2023 Form 10-K.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1.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ODP Corporation (including its consolidated subsidiaries, “ODP” or the “Company”) is a leading provider of products, services and technology solutions through an integrated business-to-business (“B2B”) distribution platform and omni-channel presence, which includes supply chain and distribution operations, dedicated sales professionals, a B2B digital procurement solution, online presence, and a network of Office Depot and OfficeMax retail stores. Through its operating companies ODP Business Solutions, LLC; Office Depot, LLC; Veyer, LLC; and Varis, Inc., The ODP Corporation empowers every business, professional, and consumer to achieve more every day.</w:t>
      </w:r>
    </w:p>
    <w:p>
      <w:pPr>
        <w:spacing w:after="0" w:line="1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has four reportable segments (or “Divisions”), which are ODP Business Solutions Division, Office Depot Division, Veyer Division, and Varis Division. Refer to Note 3 for additional information. On April 24, 2024, the Company’s Board of Directors provided their approval of management’s commitment to a plan to sell its Varis Division through a single disposal group. Refer to Note 12 for additional information.</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as of March 30, 2024, and for the 13-week period ended March 30, 2024 (also referred to as the “first quarter of 2024”), and April 1, 2023 (also referred to as the “first quarter of 2023”) are unaudited. However, in management’s opinion, these Condensed Consolidated Financial Statements reflect all adjustments of a normal recurring nature necessary to provide a fair presentation of the Company’s financial position, results of operations, and cash flows for the periods presented.</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prepared the Condensed Consolidated Financial Statements included herein pursuant to the rules and regulations of the SEC. Some information and note disclosures, which would normally be included in comprehensive annual financial statements prepared in accordance with accounting principles generally accepted in the United States (“GAAP”), have been condensed or omitted pursuant to those SEC rules and regulations. The preparation of these Condensed Consolidated Financial Statements requires management to make estimates and assumptions that affect the amounts reported in the financial statements and accompanying notes. For a better understanding of the Company and its Condensed Consolidated Financial Statements, the Company recommends reading these Condensed Consolidated Financial Statements in conjunction with the audited financial statements, which are included in the Company’s 2023 Form 10-K. These interim results are not necessarily indicative of the results that should be expected for the full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MANAGEMENT</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cash management process generally utilizes zero balance accounts which provide for the settlement of the related disbursement and cash concentration accounts on a daily basis. Amounts not yet presented for payment to zero balance disbursement accounts of $11 million and $13 million at March 30, 2024 and December 30, 2023, respectively, are presented in Trade accounts payable and Accrued expenses and other current liabilities.</w:t>
      </w:r>
    </w:p>
    <w:p>
      <w:pPr>
        <w:spacing w:after="0" w:line="12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At March 30, 2024 and December 30, 2023, cash and cash equivalents held outside the United States amounted to $87 million and $106 million, respectively. In the first quarter of 2024, the Company repatriated $25 million cash that was held in Canada, for a cost of $1 million.</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has certain ongoing pension obligations related to its frozen defined benefit pension plan in the United Kingdom. Restricted cash consists primarily of cash in bank committed to fund UK pension obligations based on the agreements that govern the UK pension plan. Restricted cash is valued at cost, which approximates fair value. Restricted cash was $3 million at both March 30, 2024 and December 30, 2023.</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CONTRACT BALANCES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generates substantially all of its revenue from contracts with customers for the sale of products and services. Refer to Note 3 for information on revenue by reportable segment and product category. Contract balances primarily consist of receivables, assets related to deferred contract acquisition costs, liabilities related to payments received in advance of performance under the contract, and liabilities related to unredeemed gift cards and loyalty programs. The following table provides information about receivables, contract assets and contract liabilities from contracts with customers: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80" w:type="dxa"/>
            <w:vAlign w:val="bottom"/>
          </w:tcPr>
          <w:p>
            <w:pPr>
              <w:spacing w:after="0"/>
              <w:rPr>
                <w:sz w:val="15"/>
                <w:szCs w:val="15"/>
                <w:color w:val="auto"/>
              </w:rPr>
            </w:pPr>
          </w:p>
        </w:tc>
        <w:tc>
          <w:tcPr>
            <w:tcW w:w="1640" w:type="dxa"/>
            <w:vAlign w:val="bottom"/>
          </w:tcPr>
          <w:p>
            <w:pPr>
              <w:jc w:val="center"/>
              <w:ind w:left="425"/>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30,</w:t>
            </w:r>
          </w:p>
        </w:tc>
      </w:tr>
      <w:tr>
        <w:trPr>
          <w:trHeight w:val="187"/>
        </w:trPr>
        <w:tc>
          <w:tcPr>
            <w:tcW w:w="69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receivables, net</w:t>
            </w:r>
          </w:p>
        </w:tc>
        <w:tc>
          <w:tcPr>
            <w:tcW w:w="1640" w:type="dxa"/>
            <w:vAlign w:val="bottom"/>
            <w:shd w:val="clear" w:color="auto" w:fill="CCEEFF"/>
          </w:tcPr>
          <w:p>
            <w:pPr>
              <w:jc w:val="right"/>
              <w:ind w:right="1485"/>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19"/>
                <w:szCs w:val="19"/>
                <w:color w:val="auto"/>
              </w:rPr>
            </w:pPr>
          </w:p>
        </w:tc>
      </w:tr>
      <w:tr>
        <w:trPr>
          <w:trHeight w:val="22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contract assets</w:t>
            </w:r>
          </w:p>
        </w:tc>
        <w:tc>
          <w:tcPr>
            <w:tcW w:w="16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r>
      <w:tr>
        <w:trPr>
          <w:trHeight w:val="23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contract assets</w:t>
            </w:r>
          </w:p>
        </w:tc>
        <w:tc>
          <w:tcPr>
            <w:tcW w:w="16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r>
      <w:tr>
        <w:trPr>
          <w:trHeight w:val="210"/>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contract liabilities</w:t>
            </w:r>
          </w:p>
        </w:tc>
        <w:tc>
          <w:tcPr>
            <w:tcW w:w="16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r>
    </w:tbl>
    <w:p>
      <w:pPr>
        <w:spacing w:after="0" w:line="16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recognized revenues of $10 million and $18 million in the first quarters of 2024 and 2023, respectively, which were included in the short-term contract liability balance at the beginning of each respective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Standards that are not yet adopted:</w:t>
      </w:r>
    </w:p>
    <w:p>
      <w:pPr>
        <w:spacing w:after="0" w:line="16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November 2023, the Financial Accounting Standards Board (the “FASB”) issued an accounting standard update that modified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requirements for all public entities that are required to report segment information. The update will change the reporting of segments by adding significant segment expenses, other segment items, title and position of chief operating decision maker and how they use the reported measures to make decisions. The update also requires all annual disclosures about reportable segment’s profit or loss and assets in interim periods. This accounting update is effective for fiscal years beginning after December 15, 2023, and interim periods within fiscal years beginning after December 15, 2024, with early adoption permitted. The Company is evaluating the impact of this new standard and believes that the adoption will result in additional disclosures, but will not have any other impact on its Consolidated Financial Statements.</w:t>
      </w:r>
    </w:p>
    <w:p>
      <w:pPr>
        <w:spacing w:after="0" w:line="12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December 2023, the FASB issued an accounting standard update that enhances the transparency and decision usefulness of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by adding effects from state and local taxes, foreign tax, changes in tax laws or rates in current period, cross-border tax laws, tax credits, valuation allowances, nontaxable and nondeductible items, and unrecognized tax benefits. This update will also require separate disclosure for any reconciling items. This accounting update is effective for fiscal years beginning after December 15, 2024, and interim periods within fiscal years beginning after December 15, 2025, with early adoption permitted. The Company is evaluating the impact of this new standard and believes that the adoption will result in additional disclosures, but will not have any other impact on its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2. MERGER AND RESTRUCTURING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has taken actions to optimize its asset base and drive operational efficiencies. These actions include acquiring profitable businesses, closing underperforming retail stores and non-strategic distribution facilities, consolidating functional activities, eliminating redundant positions and disposing of non-strategic businesses and assets. The expenses and any income recognized directly associated with these actions are included in Merger and restructuring expenses, net on a separate line in the Condensed Consolidated Statements of Operations in order to identify these activities apart from the expenses incurred to sell to and service customers. These expenses are not included in the determination of Division operating income. The table below summarizes the major components of Merger and restructuring expenses, net.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Merger and transaction related expenses</w:t>
            </w:r>
          </w:p>
        </w:tc>
        <w:tc>
          <w:tcPr>
            <w:tcW w:w="4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Transaction and integration</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2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Merger and transaction related expenses</w:t>
            </w: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20"/>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Severance</w:t>
            </w:r>
          </w:p>
        </w:tc>
        <w:tc>
          <w:tcPr>
            <w:tcW w:w="4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Professional fees</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7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Facility closure, contract termination, and other expenses, net</w:t>
            </w:r>
          </w:p>
        </w:tc>
        <w:tc>
          <w:tcPr>
            <w:tcW w:w="4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Restructuring expenses, net</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r>
      <w:tr>
        <w:trPr>
          <w:trHeight w:val="263"/>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Merger and restructuring expenses, net</w:t>
            </w:r>
          </w:p>
        </w:tc>
        <w:tc>
          <w:tcPr>
            <w:tcW w:w="44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80" w:type="dxa"/>
            <w:vAlign w:val="bottom"/>
            <w:tcBorders>
              <w:bottom w:val="single" w:sz="8" w:color="CFF0FC"/>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5744210</wp:posOffset>
            </wp:positionH>
            <wp:positionV relativeFrom="paragraph">
              <wp:posOffset>-1092200</wp:posOffset>
            </wp:positionV>
            <wp:extent cx="93980" cy="1879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-1092200</wp:posOffset>
            </wp:positionV>
            <wp:extent cx="93980" cy="1879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-333375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AND TRANSACTION RELATED EXPENSES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Transaction and integration expenses include legal, accounting, and other third-party expenses incurred in connection with acquisitions. In the first quarter of 2024, the Company did not have any transaction and integration expenses. In the first quarter of 2023, the Company recognized transaction and integration expenses of less than $1 million related to the acquisition of the small independent regional office supply distribution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 Core</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March 2024, the Company’s Board of Directors approved a restructuring plan to redesign its company-wide low-cost business model approach and create further efficiencies in its business to lower costs (“Project Core”). This was driven by a need to significantly reduce costs due to macroeconomic and other factors impacting the Company’s sales, as well as insights gained following the first year of operations of realignment of its operating segments into four divisions. The scope of Project Core was approved in two phases, in March 2024 and April 2024, and includes cost improvement actions across the entire enterprise, including the Varis Division. It aims to optimize the Company’s organizational structure to support future growth of the business. Project Core is expected to be completed in 2025, with the majority of actions expected to be taken by the end of 2024. Total restructuring costs related to Project Core are estimated to be up to $57 million, of which $35 million are estimated to be termination benefits, which mainly consists of severance, and $22 million are estimated to be costs to facilitate the program, which consists of third-party professional fees, and other incremental employee-related costs to implement actions. All costs of Project Core are expected to be cash expenditures.</w:t>
      </w:r>
    </w:p>
    <w:p>
      <w:pPr>
        <w:spacing w:after="0" w:line="13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first quarter of 2024, the Company had $25 million of restructuring costs associated with Project Core. Of these costs, $19 million was severance and $6 million was costs to facilitate the program, which mainly consisted of third-party professional fees. The Company made cash payments of $2 million associated with expenditures for Project Core in the first quarter of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Maximize B2B Restructuring Plan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Since the inception of the Maximize B2B Restructuring Plan in May 2020, the Company has closed a total of 297 retail stores and two distribution facilities through 2023, with an additional 12 retail stores closed in the first quarter of 2024 under this plan. In the first quarter of 2024, the Company had $2 million of restructuring costs associated with the Maximize B2B Restructuring Plan, and made cash payments of $2 million associated with these expenditures. In the first quarter of 2023, the Company incurred less than $1 million of restructuring costs associated with the Maximize B2B Restructuring Plan, and made cash payments of $3 million associated with expenditures for the Maximize B2B Restructuring Plan.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AND RESTRUCTURING ACCRUALS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activity in the merger and restructuring accruals the first quarter of 2024 is presented in the table below. Certain merger and restructuring charges are excluded from the table because they are paid as incurred or non-cash, such as accelerated depreciation and gains and losses on asset dispositions.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1100" w:type="dxa"/>
            <w:vAlign w:val="bottom"/>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75"/>
        </w:trPr>
        <w:tc>
          <w:tcPr>
            <w:tcW w:w="5280" w:type="dxa"/>
            <w:vAlign w:val="bottom"/>
          </w:tcPr>
          <w:p>
            <w:pPr>
              <w:spacing w:after="0"/>
              <w:rPr>
                <w:sz w:val="15"/>
                <w:szCs w:val="15"/>
                <w:color w:val="auto"/>
              </w:rPr>
            </w:pPr>
          </w:p>
        </w:tc>
        <w:tc>
          <w:tcPr>
            <w:tcW w:w="1100" w:type="dxa"/>
            <w:vAlign w:val="bottom"/>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Charges (credits)</w:t>
            </w:r>
          </w:p>
        </w:tc>
        <w:tc>
          <w:tcPr>
            <w:tcW w:w="200" w:type="dxa"/>
            <w:vAlign w:val="bottom"/>
          </w:tcPr>
          <w:p>
            <w:pPr>
              <w:spacing w:after="0"/>
              <w:rPr>
                <w:sz w:val="15"/>
                <w:szCs w:val="15"/>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30,</w:t>
            </w:r>
          </w:p>
        </w:tc>
      </w:tr>
      <w:tr>
        <w:trPr>
          <w:trHeight w:val="187"/>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00" w:type="dxa"/>
            <w:vAlign w:val="bottom"/>
          </w:tcPr>
          <w:p>
            <w:pPr>
              <w:jc w:val="center"/>
              <w:ind w:left="1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200" w:type="dxa"/>
            <w:vAlign w:val="bottom"/>
          </w:tcPr>
          <w:p>
            <w:pPr>
              <w:spacing w:after="0"/>
              <w:rPr>
                <w:sz w:val="16"/>
                <w:szCs w:val="16"/>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80" w:type="dxa"/>
            <w:vAlign w:val="bottom"/>
          </w:tcPr>
          <w:p>
            <w:pPr>
              <w:spacing w:after="0"/>
              <w:rPr>
                <w:sz w:val="16"/>
                <w:szCs w:val="16"/>
                <w:color w:val="auto"/>
              </w:rPr>
            </w:pPr>
          </w:p>
        </w:tc>
        <w:tc>
          <w:tcPr>
            <w:tcW w:w="11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2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Termination benefits:</w:t>
            </w: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Project Core</w:t>
            </w:r>
          </w:p>
        </w:tc>
        <w:tc>
          <w:tcPr>
            <w:tcW w:w="1100" w:type="dxa"/>
            <w:vAlign w:val="bottom"/>
          </w:tcPr>
          <w:p>
            <w:pPr>
              <w:jc w:val="right"/>
              <w:ind w:right="944"/>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r>
      <w:tr>
        <w:trPr>
          <w:trHeight w:val="239"/>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Maximize B2B Restructuring Plan</w:t>
            </w:r>
          </w:p>
        </w:tc>
        <w:tc>
          <w:tcPr>
            <w:tcW w:w="1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20"/>
                <w:szCs w:val="20"/>
                <w:color w:val="auto"/>
              </w:rPr>
            </w:pPr>
          </w:p>
        </w:tc>
      </w:tr>
      <w:tr>
        <w:trPr>
          <w:trHeight w:val="202"/>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and contract obligations, accruals for facilities</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closures and other costs:</w:t>
            </w: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Project Core</w:t>
            </w:r>
          </w:p>
        </w:tc>
        <w:tc>
          <w:tcPr>
            <w:tcW w:w="110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(2 )</w:t>
            </w:r>
          </w:p>
        </w:tc>
        <w:tc>
          <w:tcPr>
            <w:tcW w:w="1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FF0FC"/>
          </w:tcPr>
          <w:p>
            <w:pPr>
              <w:spacing w:after="0"/>
              <w:rPr>
                <w:sz w:val="20"/>
                <w:szCs w:val="20"/>
                <w:color w:val="auto"/>
              </w:rPr>
            </w:pPr>
          </w:p>
        </w:tc>
      </w:tr>
      <w:tr>
        <w:trPr>
          <w:trHeight w:val="220"/>
        </w:trPr>
        <w:tc>
          <w:tcPr>
            <w:tcW w:w="52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Maximize B2B Restructuring Plan</w:t>
            </w:r>
          </w:p>
        </w:tc>
        <w:tc>
          <w:tcPr>
            <w:tcW w:w="1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(1 )</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r>
      <w:tr>
        <w:trPr>
          <w:trHeight w:val="236"/>
        </w:trPr>
        <w:tc>
          <w:tcPr>
            <w:tcW w:w="5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Comprehensive Business Review</w:t>
            </w:r>
          </w:p>
        </w:tc>
        <w:tc>
          <w:tcPr>
            <w:tcW w:w="110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Pr>
          <w:p>
            <w:pPr>
              <w:jc w:val="right"/>
              <w:ind w:right="944"/>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(3 )</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-179070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-179070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-179070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short-term and long-term components of these liabilities are included in Accrued expenses and other current liabilities, and Deferred income taxes and other long-term liabilities, respectively, in the Condensed Consolidated Balance Sheets.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3.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30, 2024, the Company had four reportable segments:</w:t>
      </w:r>
    </w:p>
    <w:p>
      <w:pPr>
        <w:spacing w:after="0" w:line="16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ODP Business Solutions Division – </w:t>
      </w:r>
      <w:r>
        <w:rPr>
          <w:rFonts w:ascii="Times New Roman" w:cs="Times New Roman" w:eastAsia="Times New Roman" w:hAnsi="Times New Roman"/>
          <w:sz w:val="18"/>
          <w:szCs w:val="18"/>
          <w:color w:val="auto"/>
        </w:rPr>
        <w:t>The Company’s leading B2B distribution solutions provider serving small, medium, and enterprise level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those in the public and education sectors. This segment operates in the United States, Puerto Rico, the U.S. Virgin Islands, and Canada. The ODP Business Solutions Division sells nationally branded, as well as the Company’s private branded, office supply and adjacency products and services to customers, who are served through a dedicated sales force, catalogs, telesales, and electronically through the Company’s Internet websites. Adjacency products and services include cleaning, janitorial, and breakroom supplies, office furniture, technology products, and copy and print services. This segment also includes our Federation entities, which are over 20 regional office supply distribution businesses acquired by the Company as part of its transformation to expand its reach and distribution network into geographic areas that were previously underserved, and which continue to operate under their own brand names. The acquisition of these businesses has allowed for an effective means to expand our distribution reach, target new business customers, and grow our offerings beyond traditional office supplies.</w:t>
      </w:r>
    </w:p>
    <w:p>
      <w:pPr>
        <w:spacing w:after="0" w:line="13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Office Depot Division – </w:t>
      </w:r>
      <w:r>
        <w:rPr>
          <w:rFonts w:ascii="Times New Roman" w:cs="Times New Roman" w:eastAsia="Times New Roman" w:hAnsi="Times New Roman"/>
          <w:sz w:val="18"/>
          <w:szCs w:val="18"/>
          <w:color w:val="auto"/>
        </w:rPr>
        <w:t>The Company’s leading provider of retail consumer and small business products and services distributed through a fully integrated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omni-channel platform of 903 Office Depot and OfficeMax retail locations in the United States, Puerto Rico, and the U.S. Virgin Islands, and an eCommerce presence (www.officedepot.com). The Office Depot Division sells office supplies, technology products and solutions, business machines and related supplies, cleaning, breakroom and facilities products, personal protective equipment, and office furniture, as well as offering business services including copying, printing, digital imaging, mailing, shipping, and technology support services. In addition, the print needs for retail and business customers are facilitated through the Company’s regional print production centers.</w:t>
      </w:r>
    </w:p>
    <w:p>
      <w:pPr>
        <w:spacing w:after="0" w:line="12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Veyer Division – </w:t>
      </w:r>
      <w:r>
        <w:rPr>
          <w:rFonts w:ascii="Times New Roman" w:cs="Times New Roman" w:eastAsia="Times New Roman" w:hAnsi="Times New Roman"/>
          <w:sz w:val="18"/>
          <w:szCs w:val="18"/>
          <w:color w:val="auto"/>
        </w:rPr>
        <w:t>The Company’s supply chain, distribution, procurement, and global sourcing operation, which specializes in B2B and consumer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delivery, with core competencies in distribution, fulfillment, transportation, global sourcing, and purchasing. The Veyer Division’s customers include our Office Depot Division and ODP Business Solutions Division, as well as third-party customers. The Veyer Division also includes the Company’s global sourcing operations in Asia.</w:t>
      </w:r>
    </w:p>
    <w:p>
      <w:pPr>
        <w:spacing w:after="0" w:line="12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Varis Division – </w:t>
      </w:r>
      <w:r>
        <w:rPr>
          <w:rFonts w:ascii="Times New Roman" w:cs="Times New Roman" w:eastAsia="Times New Roman" w:hAnsi="Times New Roman"/>
          <w:sz w:val="18"/>
          <w:szCs w:val="18"/>
          <w:color w:val="auto"/>
        </w:rPr>
        <w:t>The Company’s tech-enabled B2B indirect procurement marketplace, which provides a seamless way for buyers and suppliers to transact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platform’s consumer-like buying experience, advanced spend management tools, network of suppliers, and technology capabilities. In connection with the Company’s development efforts of this Division, it acquired BuyerQuest Holdings, Inc. (“BuyerQuest”) in 2021, a software as a service eProcurement platform company. BuyerQuest’s operating results are included in the Varis Division. The Varis Division currently serves enterprise businesses and provides its services to middle- and small-sized businesses. It is focused on filling the growing demand for a B2B centric digital commerce platform that is modern, trusted, and provides the procurement controls and visibility businesses require to operate.</w:t>
      </w:r>
    </w:p>
    <w:p>
      <w:pPr>
        <w:spacing w:after="0" w:line="13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April 24, 2024, management obtained the Board of Directors’ approval and committed to a plan to sell its Varis Division through a single disposal group. The Varis Division disposal group has met the accounting criteria to be classified as held for sale as of April 2024 and will be presented as such in the second quarter of 2024. In addition, the Company expects to present the operating results and cash flows of its Varis Division as discontinued operations for all periods presented in future filings. Refer to Note 12 for additional information.</w:t>
      </w:r>
    </w:p>
    <w:p>
      <w:pPr>
        <w:spacing w:after="0" w:line="12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Division operating income is determined based on the measure of performance reported internally to manage the business and for resource allocation. This measure charges to the respective Divisions those expenses considered directly or closely related to their operations and allocates support costs. Certain operating expenses and credits are not allocated to the Divisions, including asset impairments and merger and restructuring expenses, net, as well as expenses and credits retained at the Corporate level, including certain management costs and legacy pension and environmental matters. Other companies may charge more or less of these items to their segments and results may not be comparable to similarly titled measures used by other entities.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sales and operating income (loss) by each of the Divisions, reconciled to consolidated totals: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ODP Business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Office Depot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0" w:type="dxa"/>
            <w:vAlign w:val="bottom"/>
          </w:tcPr>
          <w:p>
            <w:pPr>
              <w:spacing w:after="0"/>
              <w:rPr>
                <w:sz w:val="16"/>
                <w:szCs w:val="16"/>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Solutions Division</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Veyer Division</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Varis Division</w:t>
            </w:r>
          </w:p>
        </w:tc>
        <w:tc>
          <w:tcPr>
            <w:tcW w:w="80" w:type="dxa"/>
            <w:vAlign w:val="bottom"/>
          </w:tcPr>
          <w:p>
            <w:pPr>
              <w:spacing w:after="0"/>
              <w:rPr>
                <w:sz w:val="16"/>
                <w:szCs w:val="16"/>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22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First Quarter of 2024</w:t>
            </w: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(external)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100" w:type="dxa"/>
            <w:vAlign w:val="bottom"/>
          </w:tcPr>
          <w:p>
            <w:pPr>
              <w:spacing w:after="0"/>
              <w:rPr>
                <w:sz w:val="19"/>
                <w:szCs w:val="19"/>
                <w:color w:val="auto"/>
              </w:rPr>
            </w:pPr>
          </w:p>
        </w:tc>
      </w:tr>
      <w:tr>
        <w:trPr>
          <w:trHeight w:val="230"/>
        </w:trPr>
        <w:tc>
          <w:tcPr>
            <w:tcW w:w="3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Sales (internal)</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(1,245 )</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32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3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(1,245 )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100" w:type="dxa"/>
            <w:vAlign w:val="bottom"/>
          </w:tcPr>
          <w:p>
            <w:pPr>
              <w:spacing w:after="0"/>
              <w:rPr>
                <w:sz w:val="19"/>
                <w:szCs w:val="19"/>
                <w:color w:val="auto"/>
              </w:rPr>
            </w:pPr>
          </w:p>
        </w:tc>
      </w:tr>
      <w:tr>
        <w:trPr>
          <w:trHeight w:val="239"/>
        </w:trPr>
        <w:tc>
          <w:tcPr>
            <w:tcW w:w="3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Division operating income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FF0FC"/>
          </w:tcPr>
          <w:p>
            <w:pPr>
              <w:spacing w:after="0"/>
              <w:rPr>
                <w:sz w:val="20"/>
                <w:szCs w:val="20"/>
                <w:color w:val="auto"/>
              </w:rPr>
            </w:pPr>
          </w:p>
        </w:tc>
      </w:tr>
      <w:tr>
        <w:trPr>
          <w:trHeight w:val="230"/>
        </w:trPr>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First Quarter of 2023</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3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(external)</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100" w:type="dxa"/>
            <w:vAlign w:val="bottom"/>
          </w:tcPr>
          <w:p>
            <w:pPr>
              <w:spacing w:after="0"/>
              <w:rPr>
                <w:sz w:val="19"/>
                <w:szCs w:val="19"/>
                <w:color w:val="auto"/>
              </w:rPr>
            </w:pPr>
          </w:p>
        </w:tc>
      </w:tr>
      <w:tr>
        <w:trPr>
          <w:trHeight w:val="229"/>
        </w:trPr>
        <w:tc>
          <w:tcPr>
            <w:tcW w:w="3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Sales (internal)</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(1,425 )</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324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0"/>
        </w:trPr>
        <w:tc>
          <w:tcPr>
            <w:tcW w:w="3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(1,425 )</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100" w:type="dxa"/>
            <w:vAlign w:val="bottom"/>
          </w:tcPr>
          <w:p>
            <w:pPr>
              <w:spacing w:after="0"/>
              <w:rPr>
                <w:sz w:val="19"/>
                <w:szCs w:val="19"/>
                <w:color w:val="auto"/>
              </w:rPr>
            </w:pPr>
          </w:p>
        </w:tc>
      </w:tr>
      <w:tr>
        <w:trPr>
          <w:trHeight w:val="239"/>
        </w:trPr>
        <w:tc>
          <w:tcPr>
            <w:tcW w:w="3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Division operating income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-1182370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-1182370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-1182370</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-1182370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-1182370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-299720</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-299720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-299720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-299720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-299720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measure of Division operating income to Consolidated income from continuing operations before income taxes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8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Divisions operating income</w:t>
            </w:r>
          </w:p>
        </w:tc>
        <w:tc>
          <w:tcPr>
            <w:tcW w:w="1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75</w:t>
            </w:r>
          </w:p>
        </w:tc>
        <w:tc>
          <w:tcPr>
            <w:tcW w:w="2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Add/(subtract):</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Asset impairments</w:t>
            </w:r>
          </w:p>
        </w:tc>
        <w:tc>
          <w:tcPr>
            <w:tcW w:w="1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(6 )</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c>
          <w:tcPr>
            <w:tcW w:w="0" w:type="dxa"/>
            <w:vAlign w:val="bottom"/>
          </w:tcPr>
          <w:p>
            <w:pPr>
              <w:spacing w:after="0"/>
              <w:rPr>
                <w:sz w:val="1"/>
                <w:szCs w:val="1"/>
                <w:color w:val="auto"/>
              </w:rPr>
            </w:pPr>
          </w:p>
        </w:tc>
      </w:tr>
      <w:tr>
        <w:trPr>
          <w:trHeight w:val="220"/>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Merger and restructuring expenses, net</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(27 )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Unallocated expenses</w:t>
            </w:r>
          </w:p>
        </w:tc>
        <w:tc>
          <w:tcPr>
            <w:tcW w:w="1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(24 )</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20"/>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(4 )</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from continuing operations before income taxes</w:t>
            </w:r>
          </w:p>
        </w:tc>
        <w:tc>
          <w:tcPr>
            <w:tcW w:w="1200" w:type="dxa"/>
            <w:vAlign w:val="bottom"/>
            <w:shd w:val="clear" w:color="auto" w:fill="CFF0FC"/>
          </w:tcPr>
          <w:p>
            <w:pPr>
              <w:spacing w:after="0"/>
              <w:rPr>
                <w:sz w:val="22"/>
                <w:szCs w:val="22"/>
                <w:color w:val="auto"/>
              </w:rPr>
            </w:pP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shd w:val="clear" w:color="auto" w:fill="CFF0FC"/>
          </w:tcPr>
          <w:p>
            <w:pPr>
              <w:spacing w:after="0"/>
              <w:rPr>
                <w:sz w:val="22"/>
                <w:szCs w:val="22"/>
                <w:color w:val="auto"/>
              </w:rPr>
            </w:pPr>
          </w:p>
        </w:tc>
        <w:tc>
          <w:tcPr>
            <w:tcW w:w="4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67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disaggregated sales by major categories:</w:t>
            </w:r>
          </w:p>
        </w:tc>
        <w:tc>
          <w:tcPr>
            <w:tcW w:w="2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Major sales categories</w:t>
            </w: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Supplies</w:t>
            </w:r>
          </w:p>
        </w:tc>
        <w:tc>
          <w:tcPr>
            <w:tcW w:w="120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929</w:t>
            </w:r>
          </w:p>
        </w:tc>
        <w:tc>
          <w:tcPr>
            <w:tcW w:w="200" w:type="dxa"/>
            <w:vAlign w:val="bottom"/>
          </w:tcPr>
          <w:p>
            <w:pPr>
              <w:spacing w:after="0"/>
              <w:rPr>
                <w:sz w:val="19"/>
                <w:szCs w:val="19"/>
                <w:color w:val="auto"/>
              </w:rPr>
            </w:pPr>
          </w:p>
        </w:tc>
        <w:tc>
          <w:tcPr>
            <w:tcW w:w="440" w:type="dxa"/>
            <w:vAlign w:val="bottom"/>
            <w:gridSpan w:val="2"/>
          </w:tcPr>
          <w:p>
            <w:pPr>
              <w:jc w:val="right"/>
              <w:ind w:right="20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Technology</w:t>
            </w:r>
          </w:p>
        </w:tc>
        <w:tc>
          <w:tcPr>
            <w:tcW w:w="1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531</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Furniture and other</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Copy and print</w:t>
            </w:r>
          </w:p>
        </w:tc>
        <w:tc>
          <w:tcPr>
            <w:tcW w:w="1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158</w:t>
            </w:r>
          </w:p>
        </w:tc>
        <w:tc>
          <w:tcPr>
            <w:tcW w:w="20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1,871</w:t>
            </w:r>
          </w:p>
        </w:tc>
        <w:tc>
          <w:tcPr>
            <w:tcW w:w="200" w:type="dxa"/>
            <w:vAlign w:val="bottom"/>
          </w:tcPr>
          <w:p>
            <w:pPr>
              <w:spacing w:after="0"/>
              <w:rPr>
                <w:sz w:val="19"/>
                <w:szCs w:val="19"/>
                <w:color w:val="auto"/>
              </w:rPr>
            </w:pPr>
          </w:p>
        </w:tc>
        <w:tc>
          <w:tcPr>
            <w:tcW w:w="440" w:type="dxa"/>
            <w:vAlign w:val="bottom"/>
            <w:gridSpan w:val="2"/>
          </w:tcPr>
          <w:p>
            <w:pPr>
              <w:jc w:val="right"/>
              <w:ind w:right="20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components of goodwill by segment are as follows:</w:t>
            </w: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5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580" w:type="dxa"/>
            <w:vAlign w:val="bottom"/>
          </w:tcPr>
          <w:p>
            <w:pPr>
              <w:spacing w:after="0"/>
              <w:rPr>
                <w:sz w:val="24"/>
                <w:szCs w:val="24"/>
                <w:color w:val="auto"/>
              </w:rPr>
            </w:pPr>
          </w:p>
        </w:tc>
        <w:tc>
          <w:tcPr>
            <w:tcW w:w="16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Balance as of December</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Balance as of March 30,</w:t>
            </w:r>
          </w:p>
        </w:tc>
        <w:tc>
          <w:tcPr>
            <w:tcW w:w="0" w:type="dxa"/>
            <w:vAlign w:val="bottom"/>
          </w:tcPr>
          <w:p>
            <w:pPr>
              <w:spacing w:after="0"/>
              <w:rPr>
                <w:sz w:val="1"/>
                <w:szCs w:val="1"/>
                <w:color w:val="auto"/>
              </w:rPr>
            </w:pPr>
          </w:p>
        </w:tc>
      </w:tr>
      <w:tr>
        <w:trPr>
          <w:trHeight w:val="187"/>
        </w:trPr>
        <w:tc>
          <w:tcPr>
            <w:tcW w:w="5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30, 2023</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20" w:type="dxa"/>
            <w:vAlign w:val="bottom"/>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ODP Business Solutions Division</w:t>
            </w:r>
          </w:p>
        </w:tc>
        <w:tc>
          <w:tcPr>
            <w:tcW w:w="1200" w:type="dxa"/>
            <w:vAlign w:val="bottom"/>
            <w:shd w:val="clear" w:color="auto" w:fill="CCEEFF"/>
          </w:tcPr>
          <w:p>
            <w:pPr>
              <w:jc w:val="right"/>
              <w:ind w:right="10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3"/>
            <w:shd w:val="clear" w:color="auto" w:fill="CCEEFF"/>
          </w:tcPr>
          <w:p>
            <w:pPr>
              <w:jc w:val="center"/>
              <w:ind w:left="9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Depot Division</w:t>
            </w:r>
          </w:p>
        </w:tc>
        <w:tc>
          <w:tcPr>
            <w:tcW w:w="12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center"/>
              <w:ind w:left="941"/>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Veyer Division</w:t>
            </w:r>
          </w:p>
        </w:tc>
        <w:tc>
          <w:tcPr>
            <w:tcW w:w="12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center"/>
              <w:ind w:left="1161"/>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CCEEFF"/>
            </w:tcBorders>
            <w:gridSpan w:val="2"/>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Pr>
          <w:p>
            <w:pPr>
              <w:jc w:val="right"/>
              <w:ind w:right="10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3"/>
          </w:tcPr>
          <w:p>
            <w:pPr>
              <w:jc w:val="center"/>
              <w:ind w:left="9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jc w:val="right"/>
              <w:ind w:right="268"/>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-2759710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-2742565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-1353820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-179070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-179070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annually as of the first day of fiscal December or more frequently when events or changes in circumstances indicate that impairment may have occurred. Each reportable segment also represents a reporting unit. There were no events or changes in circumstances that indicate an impairment may have occurred during the first quarter of 2024. The Company will continue to evaluate the recoverability of goodwill at the reporting unit level. If the operating results of the Company’s reporting units deteriorate in the future, it may cause the fair value of one or more of the reporting units to fall below their carrying value, resulting in goodwill impairment charges.</w:t>
      </w:r>
    </w:p>
    <w:p>
      <w:pPr>
        <w:sectPr>
          <w:pgSz w:w="11900" w:h="16838" w:orient="portrait"/>
          <w:cols w:equalWidth="0" w:num="1">
            <w:col w:w="11240"/>
          </w:cols>
          <w:pgMar w:left="320" w:top="765"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4.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Company’s effective tax rate was 12% for the first quarter of 2024, and 23% for the first quarter of 2023. For the first quarter of 2024, the Company’s effective rate was primarily impacted by a tax benefit associated with stock-based compensation awards year-to-date and the settlement of an uncertain tax position for less than the reserve. For the first quarter of 2023, the Company’s effective rate was primarily impacted by the recognition of a tax benefit associated with stock-based compensation awards year-to-date. These factors, along with the impact of state taxes and the mix of income and losses across U.S. and non-U.S. jurisdictions, caused the Company’s effective tax rate to differ from the statutory rate of 21%. Changes in pretax income projections and the mix of income across jurisdictions could impact the effective tax rates in future quarters.</w:t>
      </w:r>
    </w:p>
    <w:p>
      <w:pPr>
        <w:spacing w:after="0" w:line="6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continues to have a U.S. valuation allowance for certain U.S. federal credits and state tax attributes, which relates to deferred tax assets that require certain types of income or for income to be earned in certain jurisdictions in order to be realized. The Company will continue to assess the realizability of its deferred tax assets in the U.S. and remaining foreign jurisdictions in future periods. Changes in pretax income projections could impact this evaluation in future periods.</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files a U.S. federal income tax return and other income tax returns in various states and foreign jurisdictions. With few exceptions, the Company is no longer subject to U.S. federal and state and local income tax examinations for years prior to 2021 and 2014, respectively. The acquired OfficeMax U.S. consolidated group is no longer subject to U.S. federal income tax examination, and with few exceptions, is no longer subject to U.S. state and local income tax examinations for years prior to 2013. Generally, the Company is subject to routine examination for years 2013 and forward in its international tax jurisdictions.</w:t>
      </w:r>
    </w:p>
    <w:p>
      <w:pPr>
        <w:spacing w:after="0" w:line="75"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It is anticipated that $3 million of tax positions will be resolved within the next 12 months. Additionally, the Company anticipates that it is reasonably possible that new issues will be raised or resolved by tax authorities that may require changes to the balance of unrecognized tax benefits; however, an estimate of such changes cannot be reasonably made.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5.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calculation of earnings per common share – basic and diluted: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Basic Earnings Per Share</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74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FF0FC"/>
          </w:tcPr>
          <w:p>
            <w:pPr>
              <w:spacing w:after="0"/>
              <w:rPr>
                <w:sz w:val="20"/>
                <w:szCs w:val="20"/>
                <w:color w:val="auto"/>
              </w:rPr>
            </w:pP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2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74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Continuing operations</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74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FF0FC"/>
          </w:tcPr>
          <w:p>
            <w:pPr>
              <w:spacing w:after="0"/>
              <w:rPr>
                <w:sz w:val="20"/>
                <w:szCs w:val="20"/>
                <w:color w:val="auto"/>
              </w:rPr>
            </w:pP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Discontinued operations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basic earnings per share</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74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FF0FC"/>
          </w:tcPr>
          <w:p>
            <w:pPr>
              <w:spacing w:after="0"/>
              <w:rPr>
                <w:sz w:val="22"/>
                <w:szCs w:val="22"/>
                <w:color w:val="auto"/>
              </w:rPr>
            </w:pPr>
          </w:p>
        </w:tc>
      </w:tr>
      <w:tr>
        <w:trPr>
          <w:trHeight w:val="208"/>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Per Share</w:t>
            </w: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7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r>
      <w:tr>
        <w:trPr>
          <w:trHeight w:val="23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38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7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9"/>
                <w:szCs w:val="19"/>
                <w:color w:val="auto"/>
              </w:rPr>
            </w:pPr>
          </w:p>
        </w:tc>
      </w:tr>
      <w:tr>
        <w:trPr>
          <w:trHeight w:val="23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8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3"/>
        </w:trPr>
        <w:tc>
          <w:tcPr>
            <w:tcW w:w="7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Stock options and restricted stock</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Diluted weighted-average shares outstanding</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Continuing operations</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74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FF0FC"/>
          </w:tcPr>
          <w:p>
            <w:pPr>
              <w:spacing w:after="0"/>
              <w:rPr>
                <w:sz w:val="20"/>
                <w:szCs w:val="20"/>
                <w:color w:val="auto"/>
              </w:rPr>
            </w:pP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Discontinued operations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diluted earnings per share</w:t>
            </w: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28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-3016885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-3016885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-2125345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-2108200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-1517015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-1517015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Awards of stock options and nonvested shares representing additional shares of outstanding common stock were less than one million in both the first quarter of 2024 and the first quarter of 2023, but they were not included in the computation of diluted weighted-average shares outstanding because their effect would have been antidilutive.</w:t>
      </w:r>
    </w:p>
    <w:p>
      <w:pPr>
        <w:sectPr>
          <w:pgSz w:w="11900" w:h="16838" w:orient="portrait"/>
          <w:cols w:equalWidth="0" w:num="1">
            <w:col w:w="11240"/>
          </w:cols>
          <w:pgMar w:left="320" w:top="76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6.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April 17, 2020, the Company entered into the Third Amended and Restated Credit Agreement (the “Third Amended Credit Agreement”), which provided for a $1.2 billion asset-based revolving credit facility and a $100 million asset-based first-in, last-out term loan facility (the “FILO Term Loan Facility”), for an aggregate principal amount of up to $1.3 billion (the “New Facilities”). The New Facilities mature on April 17, 2025. The Third Amended Credit Agreement replaced the Company’s then existing amended and restated credit agreement that was due to mature in May 2021. In 2022, the Company reduced its asset-based revolving credit facility by $200 million to $1.0 billion and retired $43 million of outstanding FILO Term Loan Facility loans under the Third Amended Credit Agreement. During the first quarter of 2023, the Third Amended Credit Agreement was amended to replace the LIBOR-based Eurocurrency reference interest rate option with a reference interest rate option based upon SOFR. Other than the foregoing, the material terms of the Third Amended Credit Agreement remain unchanged.</w:t>
      </w:r>
    </w:p>
    <w:p>
      <w:pPr>
        <w:spacing w:after="0" w:line="13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As provided by the Third Amended Credit Agreement, available amounts that can be borrowed at any given time are based on percentages of certain outstanding accounts receivable, credit card receivables, inventory, cash value of company-owned life insurance policies, and certain specific real estate of the Company. During the first quarter of 2024, the Company elected to draw down $75 million under the Third Amended Credit Agreement for working capital management. This was repaid during the quarter, resulting in no revolving loans outstanding at March 30, 2024. During the first quarter of 2024, the Company retired $53 million of outstanding FILO Term Loan Facility loans under the Third Amended Credit Agreement, resulting in no FILO Term Loan Facility loans at March 30, 2024. This was funded through available liquidity. At March 30, 2024, the Company had $37 million of outstanding standby letters of credit and $689 million of available credit under the Third Amended Credit Agreement. The Company was in compliance with all applicable covenants at March 30,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7.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loss activity, net of tax, where applicable, is provided in the following table: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132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660" w:type="dxa"/>
            <w:vAlign w:val="bottom"/>
          </w:tcPr>
          <w:p>
            <w:pPr>
              <w:spacing w:after="0"/>
              <w:rPr>
                <w:sz w:val="15"/>
                <w:szCs w:val="15"/>
                <w:color w:val="auto"/>
              </w:rPr>
            </w:pPr>
          </w:p>
        </w:tc>
        <w:tc>
          <w:tcPr>
            <w:tcW w:w="132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660" w:type="dxa"/>
            <w:vAlign w:val="bottom"/>
          </w:tcPr>
          <w:p>
            <w:pPr>
              <w:spacing w:after="0"/>
              <w:rPr>
                <w:sz w:val="15"/>
                <w:szCs w:val="15"/>
                <w:color w:val="auto"/>
              </w:rPr>
            </w:pPr>
          </w:p>
        </w:tc>
        <w:tc>
          <w:tcPr>
            <w:tcW w:w="132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320" w:type="dxa"/>
            <w:vAlign w:val="bottom"/>
            <w:tcBorders>
              <w:bottom w:val="single" w:sz="8" w:color="auto"/>
            </w:tcBorders>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30, 2023</w:t>
            </w:r>
          </w:p>
        </w:tc>
        <w:tc>
          <w:tcPr>
            <w:tcW w:w="1320" w:type="dxa"/>
            <w:vAlign w:val="bottom"/>
            <w:shd w:val="clear" w:color="auto" w:fill="CCEEFF"/>
          </w:tcPr>
          <w:p>
            <w:pPr>
              <w:jc w:val="right"/>
              <w:ind w:right="116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(31 )</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(83 )</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(114 )</w:t>
            </w:r>
          </w:p>
        </w:tc>
      </w:tr>
      <w:tr>
        <w:trPr>
          <w:trHeight w:val="220"/>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activity</w:t>
            </w:r>
          </w:p>
        </w:tc>
        <w:tc>
          <w:tcPr>
            <w:tcW w:w="132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(4 )</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(3 )</w:t>
            </w:r>
          </w:p>
        </w:tc>
      </w:tr>
      <w:tr>
        <w:trPr>
          <w:trHeight w:val="23"/>
        </w:trPr>
        <w:tc>
          <w:tcPr>
            <w:tcW w:w="56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7"/>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30, 2024</w:t>
            </w:r>
          </w:p>
        </w:tc>
        <w:tc>
          <w:tcPr>
            <w:tcW w:w="1320" w:type="dxa"/>
            <w:vAlign w:val="bottom"/>
            <w:shd w:val="clear" w:color="auto" w:fill="CCEEFF"/>
          </w:tcPr>
          <w:p>
            <w:pPr>
              <w:jc w:val="right"/>
              <w:ind w:right="1165"/>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(35 )</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(82 )</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(117 )</w:t>
            </w:r>
          </w:p>
        </w:tc>
      </w:tr>
      <w:tr>
        <w:trPr>
          <w:trHeight w:val="20"/>
        </w:trPr>
        <w:tc>
          <w:tcPr>
            <w:tcW w:w="56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-24765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October 2022, the Board of Directors approved a stock repurchase program of up to $1 billion, available through December 31, 2025 which replaced the then existing $600 million stock repurchase program effective November 3, 2022. In February 2024, the Company’s Board of Directors approved a new stock repurchase program of up to $1 billion of its common stock, available through March 31, 2027, which replaced the then existing $1 billion stock repurchase program. The new authorization may be suspended or discontinued at any time. The exact timing of share repurchases will depend on market conditions and other factors, and will be funded through available cash balances.</w:t>
      </w:r>
    </w:p>
    <w:p>
      <w:pPr>
        <w:spacing w:after="0" w:line="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repurchased 957 thousand shares of its common stock at a cost of $50 million in the first quarter of 2024. As of March 30, 2024, $972 million remains available for stock repurchases under the current stock repurchase program. Subsequent to the end of the first quarter of 2024 and through May 1, 2024, the Company repurchased 703 thousand shares of its common stock at a cost of $36 million.</w:t>
      </w:r>
    </w:p>
    <w:p>
      <w:pPr>
        <w:spacing w:after="0" w:line="6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At March 30, 2024, there were 31 million shares of common stock held in treasury. The Company’s Third Amended Credit Agreement permits restricted payments, such as common stock repurchases, but may be limited if the Company does not meet the required minimum liquidity or fixed charge coverage ratio requirements. Refer to Note 6 for additional information about the Company’s compliance with covenants.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did not declare any cash dividends in the first quarter of 2024. The Company does not anticipate declaring cash dividends in the foreseeable future. The Company’s Third Amended Credit Agreement permits restricted payments, such as dividends, but may be limited if the Company does not meet the required minimum liquidity or fixed charge coverage ratio requirements. Refer to Note 6 for additional information about the Company’s compliance with covenants.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8.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Net periodic pension benefits for the North America and UK pension plans and other postretirement benefit plans (the “Plans”) are recorded at the Corporate level. The service cost for the Plans are reflected in Selling, general and administrative expenses, and the other components of net periodic pension benefits are reflected in Other income, net, in the Condensed Consolidated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AND OTHER POSTRETIREMENT BENEFIT PLANS – NORTH AMERICA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benefit for the Company’s North America pension plans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19"/>
                <w:szCs w:val="19"/>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3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(7 )</w:t>
            </w:r>
          </w:p>
        </w:tc>
        <w:tc>
          <w:tcPr>
            <w:tcW w:w="4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(9 )</w:t>
            </w:r>
          </w:p>
        </w:tc>
      </w:tr>
      <w:tr>
        <w:trPr>
          <w:trHeight w:val="22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gain</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r>
      <w:tr>
        <w:trPr>
          <w:trHeight w:val="23"/>
        </w:trPr>
        <w:tc>
          <w:tcPr>
            <w:tcW w:w="774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periodic pension benefit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r>
      <w:tr>
        <w:trPr>
          <w:trHeight w:val="20"/>
        </w:trPr>
        <w:tc>
          <w:tcPr>
            <w:tcW w:w="7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-179070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North America qualified pension plan is in a net asset position and included in Other assets in the Condensed Consolidated Balance Sheets at March 30, 2024 and December 30, 2023. The North America nonqualified pension plan is in a net liability position and included in Pension and postretirement obligations, net in the Condensed Consolidated Balance Sheets at March 30, 2024 and December 30, 2023. In the first quarter of 2024, $1 million of cash contributions were made to the North America pension plans. The Company expects to make additional cash contributions of approximately $1 million to the North America pension plans during the remainder of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 – UNITED KINGDOM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benefit for the Company’s pension plan in the United Kingdom (“UK”)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9"/>
                <w:szCs w:val="19"/>
                <w:color w:val="auto"/>
              </w:rPr>
            </w:pP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3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(1 )</w:t>
            </w:r>
          </w:p>
        </w:tc>
        <w:tc>
          <w:tcPr>
            <w:tcW w:w="4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(2 )</w:t>
            </w:r>
          </w:p>
        </w:tc>
      </w:tr>
      <w:tr>
        <w:trPr>
          <w:trHeight w:val="26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periodic pension benefit</w:t>
            </w:r>
          </w:p>
        </w:tc>
        <w:tc>
          <w:tcPr>
            <w:tcW w:w="380" w:type="dxa"/>
            <w:vAlign w:val="bottom"/>
            <w:tcBorders>
              <w:top w:val="single" w:sz="8" w:color="auto"/>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top w:val="single" w:sz="8" w:color="auto"/>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has a frozen defined benefit pension plan in the United Kingdom. In July 2023, in accordance with applicable UK pension regulations, Trustees of the UK pension plan entered into an agreement with an insurer for the bulk annuity purchase of the plan, covering 100% of the plan’s members. This agreement, or buy-in, resulted in an exchange of plan assets for an annuity that covers the plan’s future projected benefit obligations. The Company anticipates the buyout of the plan and transfer of future benefit obligations of plan participants to be completed with existing plan funds in 2025. Accordingly, the Company does not expect the transaction to result in material cash inflows or outflows. At the completion of the buy-out, the Company will remove the assets and liabilities of the UK pension plan from its Consolidated Balance Sheet and a final non-cash plan settlement loss will be included in net periodic pension cost.</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UK pension plan is in a net asset position and included in Other assets in the Condensed Consolidated Balance Sheets at March 30, 2024. There was no net funded amount as of December 30, 2023. In the first quarter of 2024, cash contributions of $1 million were made to the UK pension plan. The Company anticipates making further cash contributions of $1 million to the UK pension plan during the remainder of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9.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in an orderly transaction between market participants at the measurement date under current market conditions. In developing its fair value estimates, the Company uses the following hierarchy:</w:t>
      </w:r>
    </w:p>
    <w:p>
      <w:pPr>
        <w:spacing w:after="0" w:line="67"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Quoted prices in active markets for identical assets or liabilities.</w:t>
      </w:r>
    </w:p>
    <w:p>
      <w:pPr>
        <w:spacing w:after="0" w:line="144"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Observable market-based inputs or unobservable inputs that are corroborated by market data.</w:t>
      </w:r>
    </w:p>
    <w:p>
      <w:pPr>
        <w:spacing w:after="0" w:line="144" w:lineRule="exact"/>
        <w:rPr>
          <w:sz w:val="20"/>
          <w:szCs w:val="20"/>
          <w:color w:val="auto"/>
        </w:rPr>
      </w:pPr>
    </w:p>
    <w:p>
      <w:pPr>
        <w:ind w:left="920" w:right="140" w:hanging="904"/>
        <w:spacing w:after="0" w:line="266" w:lineRule="auto"/>
        <w:tabs>
          <w:tab w:leader="none" w:pos="9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Significant unobservable inputs that are not corroborated by market data. Generally, these fair value measures are model-based valuation techniques such as discounted cash flows or option pricing models using the Company’s own estimates and assumptions or those expected to be used by market participants.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accordance with GAAP, certain assets and liabilities are required to be recorded at fair value on a recurring basis. The Company’s assets and liabilities that are adjusted to fair value on a recurring basis are money market funds that qualify as cash equivalents, and derivative financial instruments, which may be entered into to mitigate risks associated with changes in foreign currency exchange rates, fuel and other commodity prices and interest rates. The Company did not have derivative financial instruments during the first quarter of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to assets and liabilities that are recorded at fair value on a recurring basis, the Company records certain assets and liabilities at fair value on a nonrecurring basis as required by GAAP. Generally, assets are recorded at fair value on a nonrecurring basis as a result of impairment charges. In the first quarter of 2024, the Company recognized asset impairment charges of $6 million. Of these asset impairment charges, $5 million related to the impairment of operating lease right-of-use (“ROU”) assets associated with the Company’s retail store locations, with the remainder relating to impairment of fixed assets. In the first quarter of 2023, the Company recognized asset impairment charges of $4 million. Of these asset impairment charges, $3 million related to the impairment of operating lease ROU assets associated with the Company’s retail store locations, with the remainder relating to impairment of fixed assets and other impairment. All impairment charges discussed in the sections below are presented in Asset impairments in the Condensed Consolidated Statements of Operations.</w:t>
      </w:r>
    </w:p>
    <w:p>
      <w:pPr>
        <w:spacing w:after="0" w:line="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regularly reviews retail store assets for impairment indicators at the individual store level, as this represents the lowest level of identifiable cash flows. When indicators of impairment are present, a recoverability analysis is performed which considers the estimated undiscounted cash flows over the retail store’s remaining life and uses input from retail operations and accounting and finance personnel. These inputs include management’s best estimates of retail store-level sales, gross margins, direct expenses, exercise of future lease renewal options when reasonably certain to be exercised, and resulting cash flows that can naturally include judgments about how current initiatives will impact future performance. The assumptions used within the recoverability analysis for the retail stores were updated to consider current quarter retail store operational results and formal plans for future retail store closures as part of the Company’s restructuring programs, including the probability of closure at the retail store level. While it is generally understood that closures will approximate the store’s lease termination date, it is possible that changes in store performance or other conditions could result in future changes in assumptions utilized. These assumptions reflected declining sales over the forecast period, and gross margin and operating cost assumptions that are consistent with recent actual results and consider plans for future initiatives.</w:t>
      </w:r>
    </w:p>
    <w:p>
      <w:pPr>
        <w:spacing w:after="0" w:line="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the undiscounted cash flows of a retail store cannot support the carrying amount of its assets, the assets are impaired if necessary and written down to estimated fair value. The fair value of retail store assets is determined using a discounted cash flow analysis which uses Level 2 unobservable inputs that are corroborated by market data such as independent real estate valuation opinions. Specifically, the analysis uses assumptions of potential rental rates for each retail store location which are based on market data for comparable locations. These estimated cash flows used in the first quarter of 2024 impairment calculation were discounted at a weighted average discount rate of 8%.</w:t>
      </w:r>
    </w:p>
    <w:p>
      <w:pPr>
        <w:spacing w:after="0" w:line="7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will continue to evaluate initiatives to improve performance and lower operating costs. There are uncertainties regarding the impact of supply chain and macroeconomic conditions on the future results of operations, including the forecast period used in the recoverability analysis. To the extent that forward-looking sales and operating assumptions are not achieved and are subsequently reduced, additional impairment charges may result. However, at the end of the first quarter of 2024, the impairment recognized reflects the Company’s best estimate of future performance.</w:t>
      </w:r>
    </w:p>
    <w:p>
      <w:pPr>
        <w:spacing w:after="0" w:line="7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to its retail store assets, the Company also regularly evaluates whether there are impairment indicators associated with its other long-lived assets. The Company did not identify any impairment indicators for these long-lived assets as of March 30, 2024, and as a result, there were no associated impairment charges.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99" w:lineRule="exact"/>
        <w:rPr>
          <w:sz w:val="20"/>
          <w:szCs w:val="20"/>
          <w:color w:val="auto"/>
        </w:rPr>
      </w:pPr>
    </w:p>
    <w:p>
      <w:pPr>
        <w:ind w:right="1220"/>
        <w:spacing w:after="0" w:line="375" w:lineRule="auto"/>
        <w:rPr>
          <w:sz w:val="20"/>
          <w:szCs w:val="20"/>
          <w:color w:val="auto"/>
        </w:rPr>
      </w:pPr>
      <w:r>
        <w:rPr>
          <w:rFonts w:ascii="Times New Roman" w:cs="Times New Roman" w:eastAsia="Times New Roman" w:hAnsi="Times New Roman"/>
          <w:sz w:val="18"/>
          <w:szCs w:val="18"/>
          <w:color w:val="auto"/>
        </w:rPr>
        <w:t xml:space="preserve">The Company had assets held for sale of $7 million as of March 30, 2024, consisting of $6 million in land and $1 million in other property. </w:t>
      </w:r>
      <w:r>
        <w:rPr>
          <w:rFonts w:ascii="Times New Roman" w:cs="Times New Roman" w:eastAsia="Times New Roman" w:hAnsi="Times New Roman"/>
          <w:sz w:val="18"/>
          <w:szCs w:val="18"/>
          <w:b w:val="1"/>
          <w:bCs w:val="1"/>
          <w:color w:val="auto"/>
        </w:rPr>
        <w:t>OTHER FAIR VALUE DISCLOSURES</w:t>
      </w:r>
    </w:p>
    <w:p>
      <w:pPr>
        <w:spacing w:after="0" w:line="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receivables, trade accounts payable and accrued expenses and other current liabilities approximate their carrying values because of their short-term nature.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financial instruments at the balance sheet dates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5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440"/>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3"/>
                <w:szCs w:val="13"/>
                <w:color w:val="auto"/>
              </w:rPr>
            </w:pPr>
          </w:p>
        </w:tc>
        <w:tc>
          <w:tcPr>
            <w:tcW w:w="880" w:type="dxa"/>
            <w:vAlign w:val="bottom"/>
          </w:tcPr>
          <w:p>
            <w:pPr>
              <w:jc w:val="right"/>
              <w:ind w:right="362"/>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24"/>
              <w:spacing w:after="0" w:line="158"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center"/>
              <w:ind w:right="282"/>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3"/>
                <w:szCs w:val="13"/>
                <w:color w:val="auto"/>
              </w:rPr>
            </w:pPr>
          </w:p>
        </w:tc>
      </w:tr>
      <w:tr>
        <w:trPr>
          <w:trHeight w:val="187"/>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8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3"/>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Financial assets:</w:t>
            </w: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4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9"/>
                <w:szCs w:val="19"/>
                <w:color w:val="auto"/>
              </w:rPr>
            </w:pPr>
          </w:p>
        </w:tc>
      </w:tr>
      <w:tr>
        <w:trPr>
          <w:trHeight w:val="23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Financial liabilities:</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57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New Facilities loans under the Third Amended Credit</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Agreement, due 2025</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FF0FC"/>
          </w:tcPr>
          <w:p>
            <w:pPr>
              <w:spacing w:after="0"/>
              <w:rPr>
                <w:sz w:val="19"/>
                <w:szCs w:val="19"/>
                <w:color w:val="auto"/>
              </w:rPr>
            </w:pPr>
          </w:p>
        </w:tc>
      </w:tr>
      <w:tr>
        <w:trPr>
          <w:trHeight w:val="202"/>
        </w:trPr>
        <w:tc>
          <w:tcPr>
            <w:tcW w:w="5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Revenue bonds, due in varying amounts periodically</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through 2029</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9"/>
                <w:szCs w:val="19"/>
                <w:color w:val="auto"/>
              </w:rPr>
            </w:pPr>
          </w:p>
        </w:tc>
      </w:tr>
      <w:tr>
        <w:trPr>
          <w:trHeight w:val="212"/>
        </w:trPr>
        <w:tc>
          <w:tcPr>
            <w:tcW w:w="5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American &amp; Foreign Power Company, Inc. 5% debentures,</w:t>
            </w: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due 2030</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9"/>
                <w:szCs w:val="19"/>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w:t>
      </w:r>
    </w:p>
    <w:p>
      <w:pPr>
        <w:spacing w:after="0" w:line="102" w:lineRule="exact"/>
        <w:rPr>
          <w:sz w:val="20"/>
          <w:szCs w:val="20"/>
          <w:color w:val="auto"/>
        </w:rPr>
      </w:pPr>
    </w:p>
    <w:p>
      <w:pPr>
        <w:ind w:left="760" w:right="6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Company-owned life insurance</w:t>
      </w:r>
      <w:r>
        <w:rPr>
          <w:rFonts w:ascii="Times New Roman" w:cs="Times New Roman" w:eastAsia="Times New Roman" w:hAnsi="Times New Roman"/>
          <w:sz w:val="18"/>
          <w:szCs w:val="18"/>
          <w:color w:val="auto"/>
        </w:rPr>
        <w:t>: In connection with the 2013 OfficeMax merger, the Company acquired company-owned life insurance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certain former employees. The fair value of the company-owned life insurance policies is derived using determinable net cash surrender value, which is the cash surrender value less any outstanding loans (Level 2 measure). Death benefits received on company-owned life insurance policies, which are tax-free at payout, typically exceed their cash surrender values.</w:t>
      </w:r>
    </w:p>
    <w:p>
      <w:pPr>
        <w:spacing w:after="0" w:line="44" w:lineRule="exact"/>
        <w:rPr>
          <w:rFonts w:ascii="Times New Roman" w:cs="Times New Roman" w:eastAsia="Times New Roman" w:hAnsi="Times New Roman"/>
          <w:sz w:val="18"/>
          <w:szCs w:val="18"/>
          <w:color w:val="auto"/>
        </w:rPr>
      </w:pPr>
    </w:p>
    <w:p>
      <w:pPr>
        <w:ind w:left="760" w:right="12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Long-term debt, for which there were no transactions on the measurement date, was valued based on quoted market prices near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measurement date when available or by discounting the future cash flows of each instrument using rates based on the most recently observable trade or using rates currently offered to the Company for similar debt instruments of comparable maturities (Level 2 measure). The carrying amount of the New Facilities loans under the Third Amended Credit Agreement approximates fair value because the interest rates vary with market interest rates. Refer to Note 6 for additional information about the Third Amended Credit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10.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is involved in litigation arising in the normal course of business. While, from time to time, claims are asserted that make demands for a large sum of money (including, from time to time, actions which are asserted to be maintainable as class action suits), the Company does not believe that contingent liabilities related to these matters (including the matters discussed below), either individually or in the aggregate, will materially affect the Company’s financial position, results of operations, or cash flows.</w:t>
      </w:r>
    </w:p>
    <w:p>
      <w:pPr>
        <w:spacing w:after="0" w:line="7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sales to and transactions with government customers may be subject to lawsuits, investigations, audits and review by governmental authorities and regulatory agencies, with which the Company cooperates. Many of these lawsuits, investigations, audits and reviews are resolved without material impact to the Company. While claims in these matters may at times assert large demands, the Company does not believe that contingent liabilities related to these matters, either individually or in the aggregate, will materially affect its financial position, results of operations, or cash flows.</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to the foregoing, OfficeMax is named as a defendant in a number of lawsuits, claims, and proceedings arising out of the operation of certain paper and forest products assets prior to those assets being sold in 2004, for which OfficeMax agreed to retain responsibility. Also, as part of that sale, OfficeMax agreed to retain responsibility for all pending, threatened and future proceedings alleging asbestos-related injuries arising out of the operation of the paper and forest products assets prior to the closing of the sale. The Company has made provision for losses with respect to the pending proceedings. Additionally, as of March 30, 2024, the Company has made provision for environmental liabilities with respect to certain sites where hazardous substances or other contaminants are or may be located. For these combined liabilities, the Company’s estimated range of reasonably possible losses was approximately $15 million to $25 million. The Company regularly monitors its estimated exposure to these liabilities. As additional information becomes known, these estimates may change, however, the Company does not believe any of these OfficeMax retained proceedings are material to the Company’s financial position, results of operations, or cash flows.</w:t>
      </w:r>
    </w:p>
    <w:p>
      <w:pPr>
        <w:sectPr>
          <w:pgSz w:w="11900" w:h="16838" w:orient="portrait"/>
          <w:cols w:equalWidth="0" w:num="1">
            <w:col w:w="11240"/>
          </w:cols>
          <w:pgMar w:left="320" w:top="765"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11.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sold its CompuCom Division on December 31, 2021, through a transaction that was structured and accounted for as an equity sale. The disposition represented a strategic shift that had a major impact on the Company’s operations and financial statements, and as a result the operating results and cash flows related to the CompuCom Division have been presented as discontinued operations. The related Securities Purchase Agreement provided for consideration consisting of a cash purchase price, which was settled for $104 million in the fourth quarter of 2022, an interest-bearing promissory note in the amount of $55 million, and an earn-out provision providing for payments of up to $125 million in certain circumstances. The promissory note accrues interest at six percent per annum, payable on a quarterly basis in cash or in-kind, and is due in full on June 30, 2027. Under the earn-out provision, if the purchaser receives dividends or sale proceeds from the CompuCom business equal to (i) three times its initial capital investment in the CompuCom business plus (ii) 15% per annum on subsequent capital investments, the Company will be entitled to 50% of any subsequent dividends or sale proceeds up to and until the Company has received an aggregate of $125 million.</w:t>
      </w:r>
    </w:p>
    <w:p>
      <w:pPr>
        <w:spacing w:after="0" w:line="13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the closing date of the transaction, on December 31, 2021, the Company had previously received $95 million from the purchaser. Of the additional $9 million to be received to settle the total cash purchase price, $5 million was received in the first quarter of 2023, and the promissory note was amended in February 2023 to include the remaining $4 million, bringing its principal balance to $59 million. The earn-out provision was identified to be a derivative in accordance with ASC 815, and its fair value was determined using Monte Carlo simulation as $9 million. The promissory note and the earn-out are non-current receivables as of March 30, 2024.</w:t>
      </w:r>
    </w:p>
    <w:p>
      <w:pPr>
        <w:spacing w:after="0" w:line="1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did not have any financial results related to discontinued operations on its Condensed Consolidated Statements of Operations in the first quarter of 2024 or the first quarter of 2023.</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12.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24, 2024, the Company’s Board of Directors approved management’s commitment to a plan to sell its Varis Division through a single disposal group. Although management did not bring forth a specific transaction to the Board of Directors, management expects to complete the sale within one year. The Company is actively marketing its Varis Division for sale at a price that the Company believes is reasonable in relation to its current fair value. However, there can be no assurances regarding the ultimate timing of this planned disposition or that such disposition will be completed. The Varis Division disposal group has met the accounting criteria to be classified as held for sale as of April 2024 and will be presented as such in the second quarter of 2024. The planned disposition of the Varis Division represents a strategic shift that will have a major impact on the Company’s operations and financial results. Accordingly, the Company expects to present the operating results and cash flows of its Varis Division as discontinued operations for all periods presented in future filings.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 w:name="page19"/>
    <w:bookmarkEnd w:id="18"/>
    <w:p>
      <w:pPr>
        <w:ind w:right="194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OF FINANCIAL CONDITION AND RESULTS OF OPERATIONS </w:t>
      </w:r>
      <w:r>
        <w:rPr>
          <w:rFonts w:ascii="Times New Roman" w:cs="Times New Roman" w:eastAsia="Times New Roman" w:hAnsi="Times New Roman"/>
          <w:sz w:val="18"/>
          <w:szCs w:val="18"/>
          <w:i w:val="1"/>
          <w:iCs w:val="1"/>
          <w:color w:val="auto"/>
        </w:rPr>
        <w:t>Safe Harbor Statement Under the Private Securities Litigation Reform Act of 1995</w:t>
      </w:r>
    </w:p>
    <w:p>
      <w:pPr>
        <w:spacing w:after="0" w:line="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document, including the following discussion and analysis, contains statements that constitute “forward-looking statements” within the meaning of Section 21E of the Securities Exchange Act of 1934, as amended (the “Exchange Act”), and Section 27A of the Securities Act of 1933, as amended. All statements that are not statements of historical fact are forward-looking statements. Without limitation, when we use the words “believe,” “estimate,” “plan,” “expect,” “intend,” “anticipate,” “continue,” “may,” “project,” “probably,” “should,” “could,” “will” and similar expressions in this Quarterly Report on Form 10-Q, we are identifying forward-looking statements (as such term is defined in the Private Securities Litigation Reform Act of 1995). These statements appear in a number of places in this discussion and analysis and include statements regarding the intent, belief, or current expectations of the Company, its directors, or its officers with respect to, among other things, trends affecting the Company’s financial condition or results of operations, the Company’s ability to achieve its strategic plans, including the planned sale of Varis and benefits related to Project Core, liquidity, suppliers, consumers, customers, and employees, disruptions or inefficiencies in our supply chain, uncertainties arising from conflicts including the conflicts in Russia-Ukraine and in the Middle East, and macroeconomic drivers and their effect on the U.S. economy, changes in worldwide and U.S. economic conditions including higher interest rates that materially impact consumer spending and employment and the demand for our products and services, and the outcome of contingencies such as litigation and investigations. Readers are cautioned that any forward-looking statements are not guarantees of future performance and involve risks and uncertainties. More information regarding these risks, uncertainties and other important factors that could cause actual results to differ materially from those in the forward-looking statements is set forth herein under “Risk Factors,” found in Other Information which supplements our discussion of “Risk Factors” within Other Key Information in our Annual Report on Form 10-K filed on February 28, 2024 (the “2023 Form 10-K”) with the SEC, Forward-Looking Statements, found in our 2023 Form 10-K.</w:t>
      </w:r>
    </w:p>
    <w:p>
      <w:pPr>
        <w:spacing w:after="0" w:line="1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intended to provide information to assist readers in better understanding and evaluating our financial condition and results of operations. We recommend reading this MD&amp;A in conjunction with our Condensed Consolidated Financial Statements and the Notes to those statements included in the “Financial Statements” section of this Quarterly Report on Form 10-Q, as well as our 2023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a leading provider of products, services and technology solutions through an integrated business-to-business (“B2B”) distribution platform and omni-channel presence, which includes supply chain and distribution operations, dedicated sales professionals, a B2B digital procurement solution, online presence, and a network of Office Depot and OfficeMax retail stores. Through our operating companies ODP Business Solutions, LLC; Office Depot, LLC; Veyer, LLC; and Varis, Inc., we empower every business, professional, and consumer to achieve more every day.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30, 2024, our operations are organized into four reportable segments (or “Divisions”), as described below.</w:t>
      </w:r>
    </w:p>
    <w:p>
      <w:pPr>
        <w:spacing w:after="0" w:line="1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ODP Business Solutions Division – </w:t>
      </w:r>
      <w:r>
        <w:rPr>
          <w:rFonts w:ascii="Times New Roman" w:cs="Times New Roman" w:eastAsia="Times New Roman" w:hAnsi="Times New Roman"/>
          <w:sz w:val="18"/>
          <w:szCs w:val="18"/>
          <w:color w:val="auto"/>
        </w:rPr>
        <w:t>Our leading B2B distribution solutions provider serving small, medium, and enterprise level companies,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in the public and education sectors. This segment operates in the United States, Puerto Rico, the U.S. Virgin Islands, and Canada. The ODP Business Solutions Division sells nationally branded, as well as our private branded, office supply and adjacency products and services to customers, who are served through a dedicated sales force, catalogs, telesales, and electronically through our Internet websites. Adjacency products and services include cleaning, janitorial, and breakroom supplies, office furniture, technology products, and copy and print services. This segment also includes our Federation entities, which are over 20 regional office supply distribution businesses acquired by us as part of our transformation to expand our reach and distribution network into geographic areas that were previously underserved, and which continue to operate under their own brand names. The acquisition of these businesses has allowed for an effective and accretive means to expand our distribution reach, target new business customers, and grow our offerings beyond traditional office supplies.</w:t>
      </w:r>
    </w:p>
    <w:p>
      <w:pPr>
        <w:spacing w:after="0" w:line="94"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Office Depot Division – </w:t>
      </w:r>
      <w:r>
        <w:rPr>
          <w:rFonts w:ascii="Times New Roman" w:cs="Times New Roman" w:eastAsia="Times New Roman" w:hAnsi="Times New Roman"/>
          <w:sz w:val="18"/>
          <w:szCs w:val="18"/>
          <w:color w:val="auto"/>
        </w:rPr>
        <w:t>Our leading provider of retail consumer and small business products and services distributed through a fully integrated omni-channel platform of 903 Office Depot and OfficeMax retail locations in the United States, Puerto Rico and the U.S. Virgin Islands, and an eCommerce presence (www.officedepot.com). Our Office Depot Division sells office supplies, technology products and solutions, business machines and related supplies, cleaning, breakroom and facilities products, personal protective equipment, and office furniture as well as offering business services including copying, printing, digital imaging, mailing, shipping, and technology support services. In addition, the print needs for retail and business customers are facilitated through our regional print production centers.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9" w:name="page20"/>
    <w:bookmarkEnd w:id="19"/>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Veyer Division – </w:t>
      </w:r>
      <w:r>
        <w:rPr>
          <w:rFonts w:ascii="Times New Roman" w:cs="Times New Roman" w:eastAsia="Times New Roman" w:hAnsi="Times New Roman"/>
          <w:sz w:val="18"/>
          <w:szCs w:val="18"/>
          <w:color w:val="auto"/>
        </w:rPr>
        <w:t>Our supply chain, distribution, procurement and global sourcing operation, which specializes in B2B and consumer business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with core competencies in distribution, fulfillment, transportation, global sourcing, and purchasing. The Veyer Division’s customers include our Office Depot Division and ODP Business Solutions Division, as well as third-party customers. The Veyer Division also includes the Company’s global sourcing operations in Asia.</w:t>
      </w:r>
    </w:p>
    <w:p>
      <w:pPr>
        <w:spacing w:after="0" w:line="12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Varis Division – </w:t>
      </w:r>
      <w:r>
        <w:rPr>
          <w:rFonts w:ascii="Times New Roman" w:cs="Times New Roman" w:eastAsia="Times New Roman" w:hAnsi="Times New Roman"/>
          <w:sz w:val="18"/>
          <w:szCs w:val="18"/>
          <w:color w:val="auto"/>
        </w:rPr>
        <w:t>Our tech-enabled B2B indirect procurement marketplace, which provides a seamless way for buyers and suppliers to transact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consumer-like buying experience, advanced spend management tools, network of suppliers, and technology capabilities. In connection with our development efforts of this Division, we acquired BuyerQuest Holdings, Inc. (“BuyerQuest”) in 2021, a software as a service eProcurement platform company. BuyerQuest’s operating results are included in our Varis Division. The Varis Division currently serves enterprise businesses and provides its services to middle- and small-sized businesses. It is focused on filling the growing demand for a B2B centric digital commerce platform that is modern, trusted, and provides the procurement controls and visibility businesses require to operate. See Recent Developments below for the planned disposition of our Varis Division.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Planned Disposition of our Varis Division</w:t>
      </w:r>
    </w:p>
    <w:p>
      <w:pPr>
        <w:spacing w:after="0" w:line="17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April 24, 2024, our Board of Directors approved management’s commitment to a plan to sell our Varis Division through a single disposal group. Although management did not bring forth a specific transaction to the Board of Directors, management expects to complete the sale within one year. We are actively marketing the Varis Division for sale at a price that we believe is reasonable in relation to its current fair value. However, there can be no assurances regarding the ultimate timing of this planned disposition or that such disposition will be completed. The Varis Division disposal group has met the accounting criteria to be classified as held for sale as of April 2024 and will be presented as such in the second quarter of 2024. The planned disposition of our Varis Division represents a strategic shift that will have a major impact on our operations and financial results. Accordingly, we expect to present the operating results and cash flows of the Varis Division as discontinued operations for all periods presented in future filings.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GLOBAL EVENTS</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closely monitoring the unfolding events due to the conflict in the Middle East, and its regional and global ramifications. We do not have operations in the Middle East, and our supply chain has not been impacted as of the date of this report. Other impacts due to this rapidly evolving situation are currently unknown and the broader economic impacts could potentially subject our business to materially adverse consequences should the situation escalate beyond its current scope.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CONTINUING OPERATIONS AND LIQUIDITY</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summarizes the more significant factors impacting our operating results for the 13-week period ended March 30, 2024 (also referred to as the “first quarter of 2024”) and April 1, 2023 (also referred to as the “first quarter of 2023”).</w:t>
      </w:r>
    </w:p>
    <w:p>
      <w:pPr>
        <w:spacing w:after="0" w:line="108"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Our consolidated sales were lower by $237 million, or 11%, in the first quarter of 2024 compared to the same period in the prior year. Sales in our ODP Business Solutions Division decreased $82 million, or 8%, as compared to the same period in the prior year. Our ODP Business Solutions Division experienced decreased sales across a majority of its product categories, primarily in technology and supplies. This was driven by lower demand from business-to-business customers, due to reduced spending, and fewer customers. Sales in our Office Depot Division decreased $157 million, or 14%, as compared to the same period in the prior year, mainly as a result of planned store closures, lower demand, and lower average order values at our retail stores and eCommerce platform. The sales decline was across the majority of Office Depot Division’s product categories. The contribution of our Veyer Division and Varis Division to consolidated sales was not material.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Sales (External)</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4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r>
      <w:tr>
        <w:trPr>
          <w:trHeight w:val="204"/>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ODP Business Solutions Division</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923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1,005</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 Depot Division</w:t>
            </w:r>
          </w:p>
        </w:tc>
        <w:tc>
          <w:tcPr>
            <w:tcW w:w="4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937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1,094</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Veyer Division</w:t>
            </w:r>
          </w:p>
        </w:tc>
        <w:tc>
          <w:tcPr>
            <w:tcW w:w="4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w:t>
            </w: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29 %</w:t>
            </w:r>
          </w:p>
        </w:tc>
      </w:tr>
      <w:tr>
        <w:trPr>
          <w:trHeight w:val="246"/>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Varis Division</w:t>
            </w: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1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r>
      <w:tr>
        <w:trPr>
          <w:trHeight w:val="226"/>
        </w:trPr>
        <w:tc>
          <w:tcPr>
            <w:tcW w:w="5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1,871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2,108</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0"/>
        </w:trPr>
        <w:tc>
          <w:tcPr>
            <w:tcW w:w="58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72"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OTHER SIGNIFICANT FACTORS IMPACTING TOTAL COMPANY RESULTS AND LIQUIDITY</w:t>
      </w:r>
    </w:p>
    <w:p>
      <w:pPr>
        <w:spacing w:after="0" w:line="162" w:lineRule="exact"/>
        <w:rPr>
          <w:sz w:val="20"/>
          <w:szCs w:val="20"/>
          <w:color w:val="auto"/>
        </w:rPr>
      </w:pPr>
    </w:p>
    <w:p>
      <w:pPr>
        <w:ind w:left="760" w:right="18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profit decreased $71 million, or 15% in the first quarter of 2024 when compared to the same period in 2023. Our Office Depot Division, ODP Business Solutions Division, and Veyer Division had $56 million, $12 million, and $3 million lower gross profit, respectively. The decreases in gross profit were mainly due to the flow through impact of lower sales and increases in occupancy costs, which were partially offset by improved product margin. Our Varis Division had $1 million higher gross profit during this period. Our supply chain and occupancy costs have increased in the first quarter of 2024, as a percentage of sales, including labor, facility and store rents, and utilities.</w:t>
      </w:r>
    </w:p>
    <w:p>
      <w:pPr>
        <w:spacing w:after="0" w:line="102"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margin for the first quarter of 2024 was 22%. Total gross margin for the first quarter of 2023 was 23%. The decrease in gross margin is mainly the result of higher supply chain and occupancy costs as a percentage of sales.</w:t>
      </w:r>
    </w:p>
    <w:p>
      <w:pPr>
        <w:spacing w:after="0" w:line="94" w:lineRule="exact"/>
        <w:rPr>
          <w:rFonts w:ascii="Times New Roman" w:cs="Times New Roman" w:eastAsia="Times New Roman" w:hAnsi="Times New Roman"/>
          <w:sz w:val="18"/>
          <w:szCs w:val="18"/>
          <w:color w:val="auto"/>
        </w:rPr>
      </w:pPr>
    </w:p>
    <w:p>
      <w:pPr>
        <w:ind w:left="760" w:right="20" w:hanging="378"/>
        <w:spacing w:after="0" w:line="254"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selling, general, and administrative expenses decreased $23 million in the first quarter of 2024 when compared to the same period in 2023. This was mainly driven by a $21 million decrease in our Office Depot Division in the first quarter of 2024, as well as a $3 million decrease in our ODP Business Solutions Division, and a $2 million decrease in our Varis Division. The decrease in our Office Depot Division was driven by store closures and certain strategic initiatives, including the Maximize B2B Restructuring Plan, aimed to generate savings through optimizing our retail footprint and removing corresponding costs supporting our Office Depot Division as our retail footprint is reduced. These decreases were partially offset by increases in employee-related costs and professional fees in our Veyer Division. Selling, general, and administrative expenses as a percentage of total sales was 19% in the first quarter of 2024 as compared to 18% in the same prior year period, mainly due to the deleveraging from lower sales.</w:t>
      </w:r>
    </w:p>
    <w:p>
      <w:pPr>
        <w:spacing w:after="0" w:line="124"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$6 million of asset impairment charges in the first quarter of 2024 primarily related to the impairment of operating lease ROU assets associated with our retail store locations, with the remainder relating to impairment of fixed assets. Refer to Note 9. “Fair Value Measurements” in Notes to Condensed Consolidated Financial Statements for additional information.</w:t>
      </w:r>
    </w:p>
    <w:p>
      <w:pPr>
        <w:spacing w:after="0" w:line="94" w:lineRule="exact"/>
        <w:rPr>
          <w:rFonts w:ascii="Times New Roman" w:cs="Times New Roman" w:eastAsia="Times New Roman" w:hAnsi="Times New Roman"/>
          <w:sz w:val="18"/>
          <w:szCs w:val="18"/>
          <w:color w:val="auto"/>
        </w:rPr>
      </w:pPr>
    </w:p>
    <w:p>
      <w:pPr>
        <w:ind w:left="760" w:right="4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merger and restructuring expenses, net were $27 million in the first quarter of 2024. The expenses in the period related to restructuring activities, including $25 million of restructuring costs associated with Project Core. Refer to Note 2. “Merger and Restructuring Activity” in Notes to Condensed Consolidated Financial Statements for additional information.</w:t>
      </w:r>
    </w:p>
    <w:p>
      <w:pPr>
        <w:spacing w:after="0" w:line="108" w:lineRule="exact"/>
        <w:rPr>
          <w:rFonts w:ascii="Times New Roman" w:cs="Times New Roman" w:eastAsia="Times New Roman" w:hAnsi="Times New Roman"/>
          <w:sz w:val="18"/>
          <w:szCs w:val="18"/>
          <w:color w:val="auto"/>
        </w:rPr>
      </w:pPr>
    </w:p>
    <w:p>
      <w:pPr>
        <w:ind w:left="760" w:right="180" w:hanging="378"/>
        <w:spacing w:after="0" w:line="255"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quarter of 2024, the Company’s effective tax rates were primarily impacted by a tax benefit associated with stock-based compensation awards year-to-date and settlement of an uncertain tax position for less than the reserve. For the first quarter of 2023, the Company’s effective rate was primarily impacted by the recognition of a tax benefit associated with stock-based compensation awards year-to-date. These factors, along with the impact of state taxes and the mix of income and losses across U.S. and non-U.S. jurisdictions, caused the Company’s effective tax rate of 12% for the first quarter of 2024 to differ from the statutory rate of 21%. Changes in pretax income projections and the mix of income across jurisdictions could impact the effective tax rates in future quarters. Refer to Note 4. “Income Taxes” in Notes to Condensed Consolidated Financial Statements for additional information.</w:t>
      </w:r>
    </w:p>
    <w:p>
      <w:pPr>
        <w:spacing w:after="0" w:line="121" w:lineRule="exact"/>
        <w:rPr>
          <w:rFonts w:ascii="Times New Roman" w:cs="Times New Roman" w:eastAsia="Times New Roman" w:hAnsi="Times New Roman"/>
          <w:sz w:val="18"/>
          <w:szCs w:val="18"/>
          <w:color w:val="auto"/>
        </w:rPr>
      </w:pPr>
    </w:p>
    <w:p>
      <w:pPr>
        <w:ind w:left="760" w:right="10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from continuing operations was $0.40 in the first quarter of 2024 compared to $1.71 in the first quarter of 2023. The decrease in diluted earnings per share from continuing operations in the first quarter of 2024 compared to the same prior year periods is due to lower net income, partially offset by the impact of lower weighted average shares. Refer to Note 5. “Earnings Per Share” in Notes to Condensed Consolidated Financial Statements for additional information.</w:t>
      </w:r>
    </w:p>
    <w:p>
      <w:pPr>
        <w:spacing w:after="0" w:line="98"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957 thousand shares of our common stock in the first quarter of 2024 for total consideration of $50 million. As of March 30, 2024, $972 million remains available for stock repurchases under the current stock repurchase program. Subsequent to the end of first quarter of 2024 and through May 1, 2024, we bought back 703 thousand shares of our common stock at a cost of $36 million.</w:t>
      </w:r>
    </w:p>
    <w:p>
      <w:pPr>
        <w:spacing w:after="0" w:line="108" w:lineRule="exact"/>
        <w:rPr>
          <w:rFonts w:ascii="Times New Roman" w:cs="Times New Roman" w:eastAsia="Times New Roman" w:hAnsi="Times New Roman"/>
          <w:sz w:val="18"/>
          <w:szCs w:val="18"/>
          <w:color w:val="auto"/>
        </w:rPr>
      </w:pPr>
    </w:p>
    <w:p>
      <w:pPr>
        <w:ind w:left="760" w:right="20" w:hanging="378"/>
        <w:spacing w:after="0" w:line="25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30, 2024, we had $282 million in cash and cash equivalents and $689 million of available credit under the Third Amended Credit Agreement (as defined in Note 6. “Debt” in Notes to Condensed Consolidated Financial Statements), for a total liquidity of approximately $971 million. Cash provided by operating activities of continuing operations was $38 million in the first quarter of 2024 compared to cash provided by operating activities of continuing operations of $157 million in the comparable prior year period. Refer to the “Liquidity and Capital Resources” section for further information on cash flows.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color w:val="auto"/>
        </w:rPr>
        <w:t>OPERATING RESULTS BY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Discussion of additional income and expense items, including material charges and credits and changes in interest and income taxes follows our review of segment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ODP BUSINESS SOLUTIONS DIVISION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Sales (external)</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12"/>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Sales (internal)</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change of total sales</w:t>
            </w:r>
          </w:p>
        </w:tc>
        <w:tc>
          <w:tcPr>
            <w:tcW w:w="38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(8 )%</w:t>
            </w:r>
          </w:p>
        </w:tc>
        <w:tc>
          <w:tcPr>
            <w:tcW w:w="46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Division operating income</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8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total sales</w:t>
            </w:r>
          </w:p>
        </w:tc>
        <w:tc>
          <w:tcPr>
            <w:tcW w:w="38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3 %</w:t>
            </w:r>
          </w:p>
        </w:tc>
        <w:tc>
          <w:tcPr>
            <w:tcW w:w="46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w:t>
      </w:r>
      <w:r>
        <w:rPr>
          <w:rFonts w:ascii="Times New Roman" w:cs="Times New Roman" w:eastAsia="Times New Roman" w:hAnsi="Times New Roman"/>
          <w:sz w:val="18"/>
          <w:szCs w:val="18"/>
          <w:color w:val="auto"/>
        </w:rPr>
        <w:t>in our ODP Business Solutions Division decreased $83 million in the first quarter of 2024 compared to the corresponding quarter in 2023.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of 2024, our ODP Business Solutions Division experienced decreased sales across a majority of its product categories, primarily in technology and supplies, compared to the corresponding quarter in 2023. This was driven by lower demand from business-to-business customers, due to reduced spending and fewer customers. We expect sales in our ODP Business Solutions Division to continue to be adversely impacted in the near term due to macroeconomic factors that continue to weigh on the U.S. economy, which can materially impact spending by our business-to-business customers and the demand for our products and services. Sales include internal sales of $3 million and $4 million in the first quarter of 2024 and the first quarter of 2023, respectively, which relate to ODP Business Solutions Division customers’ transactions held at Office Depot Division retail store locations.</w:t>
      </w:r>
    </w:p>
    <w:p>
      <w:pPr>
        <w:spacing w:after="0" w:line="13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ODP Business Solutions Division sales could be adversely impacted in the near term related to numerous factors, among others, a weaker U.S. economy and higher unemployment and inflation that materially impact spending, the demand for our products and services and the availability of supply. The changes in work environments as a result of the general macroeconomic environment, including ongoing remote work trends, have been material to the results of the ODP Business Solutions Division in the first quarter of 2024. A prolonged or permanent shift to hybrid or continued remote work arrangements, as well as the substance and pace of macroeconomic recovery could continue to have a material impact to the future results of the ODP Business Solutions Division.</w:t>
      </w:r>
    </w:p>
    <w:p>
      <w:pPr>
        <w:spacing w:after="0" w:line="133" w:lineRule="exact"/>
        <w:rPr>
          <w:sz w:val="20"/>
          <w:szCs w:val="20"/>
          <w:color w:val="auto"/>
        </w:rPr>
      </w:pPr>
    </w:p>
    <w:p>
      <w:pPr>
        <w:jc w:val="both"/>
        <w:ind w:right="200"/>
        <w:spacing w:after="0" w:line="257" w:lineRule="auto"/>
        <w:rPr>
          <w:sz w:val="20"/>
          <w:szCs w:val="20"/>
          <w:color w:val="auto"/>
        </w:rPr>
      </w:pPr>
      <w:r>
        <w:rPr>
          <w:rFonts w:ascii="Times New Roman" w:cs="Times New Roman" w:eastAsia="Times New Roman" w:hAnsi="Times New Roman"/>
          <w:sz w:val="18"/>
          <w:szCs w:val="18"/>
          <w:color w:val="auto"/>
        </w:rPr>
        <w:t>Our ODP Business Solutions Division operating income was $30 million in the first quarter of 2024 compared to $39 million in the first quarter of 2023, a decrease of 23%. Operating income as a percentage of sales decreased 60 basis points in the first quarter of 2024 compared to the corresponding period in 2023. The decrease in operating income was mainly driven by lower sales and higher occupancy costs, which resulted in $12 million lower gross profit.</w:t>
      </w:r>
    </w:p>
    <w:p>
      <w:pPr>
        <w:spacing w:after="0" w:line="1" w:lineRule="exact"/>
        <w:rPr>
          <w:sz w:val="20"/>
          <w:szCs w:val="20"/>
          <w:color w:val="auto"/>
        </w:rPr>
      </w:pPr>
    </w:p>
    <w:p>
      <w:pPr>
        <w:ind w:right="500"/>
        <w:spacing w:after="0" w:line="260" w:lineRule="auto"/>
        <w:rPr>
          <w:sz w:val="20"/>
          <w:szCs w:val="20"/>
          <w:color w:val="auto"/>
        </w:rPr>
      </w:pPr>
      <w:r>
        <w:rPr>
          <w:rFonts w:ascii="Times New Roman" w:cs="Times New Roman" w:eastAsia="Times New Roman" w:hAnsi="Times New Roman"/>
          <w:sz w:val="18"/>
          <w:szCs w:val="18"/>
          <w:color w:val="auto"/>
        </w:rPr>
        <w:t>This decrease was partially offset by $3 million lower selling, general and administrative expenses, which as a percentage of sales, was 70 basis points higher compared to the corresponding period in the prior year, due to the deleveraging impact of lower sales.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 DEPOT DIVISION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Sales (external)</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937</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1,094</w:t>
            </w:r>
          </w:p>
        </w:tc>
        <w:tc>
          <w:tcPr>
            <w:tcW w:w="100" w:type="dxa"/>
            <w:vAlign w:val="bottom"/>
          </w:tcPr>
          <w:p>
            <w:pPr>
              <w:spacing w:after="0"/>
              <w:rPr>
                <w:sz w:val="19"/>
                <w:szCs w:val="19"/>
                <w:color w:val="auto"/>
              </w:rPr>
            </w:pPr>
          </w:p>
        </w:tc>
      </w:tr>
      <w:tr>
        <w:trPr>
          <w:trHeight w:val="212"/>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Sales (internal)</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6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change of total sales</w:t>
            </w:r>
          </w:p>
        </w:tc>
        <w:tc>
          <w:tcPr>
            <w:tcW w:w="36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(14 )%</w:t>
            </w:r>
          </w:p>
        </w:tc>
        <w:tc>
          <w:tcPr>
            <w:tcW w:w="4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Division operating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9"/>
                <w:szCs w:val="19"/>
                <w:color w:val="auto"/>
              </w:rPr>
            </w:pP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total sales</w:t>
            </w:r>
          </w:p>
        </w:tc>
        <w:tc>
          <w:tcPr>
            <w:tcW w:w="3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5 %</w:t>
            </w:r>
          </w:p>
        </w:tc>
        <w:tc>
          <w:tcPr>
            <w:tcW w:w="4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8 %</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Comparable store sales decrease</w:t>
            </w:r>
          </w:p>
        </w:tc>
        <w:tc>
          <w:tcPr>
            <w:tcW w:w="36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(10 )%</w:t>
            </w:r>
          </w:p>
        </w:tc>
        <w:tc>
          <w:tcPr>
            <w:tcW w:w="4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-569595</wp:posOffset>
            </wp:positionV>
            <wp:extent cx="7132320"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46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w:t>
      </w:r>
      <w:r>
        <w:rPr>
          <w:rFonts w:ascii="Times New Roman" w:cs="Times New Roman" w:eastAsia="Times New Roman" w:hAnsi="Times New Roman"/>
          <w:sz w:val="18"/>
          <w:szCs w:val="18"/>
          <w:color w:val="auto"/>
        </w:rPr>
        <w:t>in our Office Depot Division decreased $159 million, or 14%, in the first quarter of 2024 compared to the corresponding period in 2023. The largest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drivers of our product sales decline for the first quarter of 2024 were planned store closures, lower demand, and lower average order values in our stores as well as through our eCommerce platform. The sales decline in the first quarter of 2024 was across the majority of our product categories. The demand for these categories was mainly impacted by reduced spending of our customers due to macroeconomic factors affecting the U.S. economy. In addition, certain interruptions experienced due to inclement weather further impacted our store traffic during the competitive back-to-business season. We believe sales in our Office Depot Division may continue to be adversely impacted in the near term and potentially longer related to numerous factors, among others, a weaker U.S. economy and higher unemployment that materially impact consumer spending, and the demand for our products and services.</w:t>
      </w:r>
    </w:p>
    <w:p>
      <w:pPr>
        <w:spacing w:after="0" w:line="131"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Sales include internal sales of $7 million and $9 million in the first quarter of 2024 and the first quarter of 2023, respectively, which relate to print services provided to the ODP Business Solutions Division as well as internal service fees for providing buy online, pick up in store (“BOPIS”) transactions to ODP Business Solutions Division customers.</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65" w:right="239" w:bottom="1440" w:gutter="0" w:footer="0" w:header="0"/>
        </w:sectPr>
      </w:pPr>
    </w:p>
    <w:bookmarkStart w:id="22" w:name="page23"/>
    <w:bookmarkEnd w:id="22"/>
    <w:p>
      <w:pPr>
        <w:ind w:right="180"/>
        <w:spacing w:after="0" w:line="266" w:lineRule="auto"/>
        <w:rPr>
          <w:sz w:val="20"/>
          <w:szCs w:val="20"/>
          <w:color w:val="auto"/>
        </w:rPr>
      </w:pPr>
      <w:r>
        <w:rPr>
          <w:rFonts w:ascii="Times New Roman" w:cs="Times New Roman" w:eastAsia="Times New Roman" w:hAnsi="Times New Roman"/>
          <w:sz w:val="18"/>
          <w:szCs w:val="18"/>
          <w:color w:val="auto"/>
        </w:rPr>
        <w:t>Sales generated through our eCommerce platform include online sales fulfilled through warehouses, BOPIS transactions, online orders shipped from store, and same day delivery orders fulfilled with retail store inventory. These sales represented 32% of Office Depot Division’s total sales in the first quarter of 2024, as compared to 29% of total sales in the comparable prior period.</w:t>
      </w:r>
    </w:p>
    <w:p>
      <w:pPr>
        <w:spacing w:after="0" w:line="122"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18"/>
          <w:szCs w:val="18"/>
          <w:color w:val="auto"/>
        </w:rPr>
        <w:t>Comparable store sales decreased 10% in the first quarter of 2024 reflecting lower store traffic and average order value, partially offset by higher conversion rate. The average order value was impacted by lower sales in our workspace and technology product categories. Our comparable store sales relate to stores that have been open for at least one year. Stores are removed from the comparable sales calculation one month prior to closing, as sales during that period are mostly related to clearance activity. Stores are also removed from the comparable sales calculation during periods of store remodeling, store closures due to hurricanes or natural disasters, or if significantly downsized. Our measure of comparable store sales has been applied consistently across periods but may differ from measures used by other companies.</w:t>
      </w:r>
    </w:p>
    <w:p>
      <w:pPr>
        <w:spacing w:after="0" w:line="9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Our Office Depot Division operating income was $50 million in the first quarter of 2024, which decreased 41% as compared to $85 million in the first quarter of 2023. Operating income as a percentage of sales decreased 240 basis points in the first quarter of 2024 compared to the corresponding period in 2023. The reduction in operating income was mainly due to the flow through impact of lower sales, which resulted in $56 million lower gross profit. In addition, our gross margin was 130 basis points lower primarily due to the impact of higher occupancy and distribution costs, which more than offset the 100 basis points favorable product margin. The decrease in gross profit was partially offset by $21 million lower selling, general and administrative expenses, which was driven by store closures as part of the Maximize B2B Restructuring Plan, and other initiatives to reduce costs as our retail footprint is reduced. Selling, general and administrative expenses as a percentage of sales were 110 basis points higher due to deleveraging from lower sales.</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March 30, 2024, our Office Depot Division operated 903 retail stores in the United States, Puerto Rico, and the U.S. Virgin Islands compared to 959 stores at the end of the first quarter of 2023. Charges associated with store closures as part of a restructuring plan are reported as appropriate in Asset impairments and Merger and restructuring expenses, net in the Condensed Consolidated Statements of Operations. In addition, as part of our periodic recoverability assessment of owned retail store and distribution center assets and operating lease ROU assets, we recognize impairment charges in the Asset impairments line item of our Condensed Consolidated Statements of Operations. These charges are reflected in Corporate reporting and are not included in the determination of Division operating income. Refer to the “Corporate” section below for additional information of expenses incurred to date.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VEYER DIVISION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Sales (external)</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9"/>
                <w:szCs w:val="19"/>
                <w:color w:val="auto"/>
              </w:rPr>
            </w:pPr>
          </w:p>
        </w:tc>
      </w:tr>
      <w:tr>
        <w:trPr>
          <w:trHeight w:val="212"/>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Sales (internal)</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1,235</w:t>
            </w:r>
          </w:p>
        </w:tc>
        <w:tc>
          <w:tcPr>
            <w:tcW w:w="16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1,412</w:t>
            </w:r>
          </w:p>
        </w:tc>
        <w:tc>
          <w:tcPr>
            <w:tcW w:w="100" w:type="dxa"/>
            <w:vAlign w:val="bottom"/>
          </w:tcPr>
          <w:p>
            <w:pPr>
              <w:spacing w:after="0"/>
              <w:rPr>
                <w:sz w:val="18"/>
                <w:szCs w:val="18"/>
                <w:color w:val="auto"/>
              </w:rPr>
            </w:pP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change of total sales</w:t>
            </w:r>
          </w:p>
        </w:tc>
        <w:tc>
          <w:tcPr>
            <w:tcW w:w="36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(12 )%</w:t>
            </w:r>
          </w:p>
        </w:tc>
        <w:tc>
          <w:tcPr>
            <w:tcW w:w="4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Division operating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w:t>
            </w:r>
          </w:p>
        </w:tc>
        <w:tc>
          <w:tcPr>
            <w:tcW w:w="16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r>
      <w:tr>
        <w:trPr>
          <w:trHeight w:val="230"/>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total sales</w:t>
            </w:r>
          </w:p>
        </w:tc>
        <w:tc>
          <w:tcPr>
            <w:tcW w:w="3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1 %</w:t>
            </w:r>
          </w:p>
        </w:tc>
        <w:tc>
          <w:tcPr>
            <w:tcW w:w="4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Internal sales </w:t>
      </w:r>
      <w:r>
        <w:rPr>
          <w:rFonts w:ascii="Times New Roman" w:cs="Times New Roman" w:eastAsia="Times New Roman" w:hAnsi="Times New Roman"/>
          <w:sz w:val="18"/>
          <w:szCs w:val="18"/>
          <w:color w:val="auto"/>
        </w:rPr>
        <w:t>represent sales of product and supply chain services provided to our Office Depot Division and ODP Business Solutions Division, which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sold to third-party customers through those divisions. Internal sales of product are made at a price that includes a service fee to the cost of product we source from third-party vendors, net of the impact of vendor income, and certain other adjustments. Internal sales of services represent supply chain and logistics support services, which include warehousing, shipping and handling, returns and others. These internal sales of services are also provided to the Office Depot Division and the ODP Business Solutions Division, at a service fee over cost. Internal sales are eliminated upon consolidation.</w:t>
      </w:r>
    </w:p>
    <w:p>
      <w:pPr>
        <w:spacing w:after="0" w:line="13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Veyer Division aims to be the lowest cost provider to the Office Depot Division and the ODP Business Solutions Division, with the purpose of achieving the most favorable outcome for our consolidated results. As a result, Veyer Division’s internal sales and profitability related to these internal sales could be impacted by product cost fluctuations and activities that we may undertake to drive efficiencies in the Veyer Division, including rebates we may receive from third-party vendors, as well as decisions made independently by the Office Depot Division and ODP Business Solutions Division for alternative sourcing options to meet customer needs.</w:t>
      </w:r>
    </w:p>
    <w:p>
      <w:pPr>
        <w:spacing w:after="0" w:line="1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the first quarter of 2024 and the first quarter of 2023, $586 million and $692 million of internal sales are to the Office Depot Division, and $649 million and $720 million are to the ODP Business Solutions Division, respectively. The decrease in internal sales to the Office Depot Division is related to the decline in customer demand at our retail stores and eCommerce platform, which is discussed further in the Office Depot Division section above. The decrease in internal sales to the ODP Business Solutions Division is related to reduced demand experienced by ODP Business Solutions Division during the first quarter of 2024, which is discussed further in the ODP Business Solutions Division section above.</w:t>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74" w:right="239" w:bottom="1440" w:gutter="0" w:footer="0" w:header="0"/>
        </w:sectPr>
      </w:pPr>
    </w:p>
    <w:bookmarkStart w:id="23" w:name="page24"/>
    <w:bookmarkEnd w:id="23"/>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External sales </w:t>
      </w:r>
      <w:r>
        <w:rPr>
          <w:rFonts w:ascii="Times New Roman" w:cs="Times New Roman" w:eastAsia="Times New Roman" w:hAnsi="Times New Roman"/>
          <w:sz w:val="18"/>
          <w:szCs w:val="18"/>
          <w:color w:val="auto"/>
        </w:rPr>
        <w:t>represent supply chain services provided to third parties, as well as product sales by our Asia sourcing operation to third parties. The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increase in external sales in the first quarter of 2024 was driven by supply chain services and product sales to third parties.</w:t>
      </w:r>
    </w:p>
    <w:p>
      <w:pPr>
        <w:spacing w:after="0" w:line="5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Veyer Division operating income was $9 million in the first quarter of 2024 compared to $15 million in the first quarter of 2023. The decrease in the period related to the flow through impact of lower internal sales, which resulted in $4 million less gross profit, as well as a $3 million increase in selling, general and administrative expenses due to higher employee-related costs and professional fees. This was partially offset by a favorable impact of $1 million from higher sales to third parties. The gross margin was flat as compared to the corresponding period in the prior year. Future performance of our Veyer Division is dependent upon market conditions in the transportation and logistics industry, including fluctuations in labor and fuel costs, and its ability to pass any cost increases through to its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VARIS DIVISION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Sales (external)</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Sales (internal)</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change of total sales</w:t>
            </w:r>
          </w:p>
        </w:tc>
        <w:tc>
          <w:tcPr>
            <w:tcW w:w="3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0 %</w:t>
            </w:r>
          </w:p>
        </w:tc>
        <w:tc>
          <w:tcPr>
            <w:tcW w:w="460" w:type="dxa"/>
            <w:vAlign w:val="bottom"/>
          </w:tcPr>
          <w:p>
            <w:pPr>
              <w:spacing w:after="0"/>
              <w:rPr>
                <w:sz w:val="19"/>
                <w:szCs w:val="19"/>
                <w:color w:val="auto"/>
              </w:rPr>
            </w:pP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Division operating loss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(14 )</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9"/>
                <w:szCs w:val="19"/>
                <w:color w:val="auto"/>
              </w:rPr>
            </w:pP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of total sales</w:t>
            </w:r>
          </w:p>
        </w:tc>
        <w:tc>
          <w:tcPr>
            <w:tcW w:w="36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(700 )%</w:t>
            </w:r>
          </w:p>
        </w:tc>
        <w:tc>
          <w:tcPr>
            <w:tcW w:w="46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46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87"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Sales </w:t>
      </w:r>
      <w:r>
        <w:rPr>
          <w:rFonts w:ascii="Times New Roman" w:cs="Times New Roman" w:eastAsia="Times New Roman" w:hAnsi="Times New Roman"/>
          <w:sz w:val="18"/>
          <w:szCs w:val="18"/>
          <w:color w:val="auto"/>
        </w:rPr>
        <w:t>in our Varis Division in the first quarter of 2024 were flat compared to the corresponding period in the prior year. Sales predominantly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services.</w:t>
      </w:r>
    </w:p>
    <w:p>
      <w:pPr>
        <w:spacing w:after="0" w:line="50"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Division operating loss </w:t>
      </w:r>
      <w:r>
        <w:rPr>
          <w:rFonts w:ascii="Times New Roman" w:cs="Times New Roman" w:eastAsia="Times New Roman" w:hAnsi="Times New Roman"/>
          <w:sz w:val="17"/>
          <w:szCs w:val="17"/>
          <w:color w:val="auto"/>
        </w:rPr>
        <w:t>was $14 million in the first quarter of 2024 compared to $17 million in the first quarter of 2023. Our Varis Division had lower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employee-related costs in the first quarter of 2024 compared to the corresponding period in the prior year. This was partially offset by costs incurred related to the amortization of internally developed software, which represent investments in the resources required to expand and scale the technology platform.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w:t>
      </w:r>
    </w:p>
    <w:p>
      <w:pPr>
        <w:spacing w:after="0" w:line="1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line items in our Condensed Consolidated Statements of Operations included as Corporate activities are Asset impairments and Merger and restructuring expenses, net. These activities are managed at the Corporate level and, accordingly, are not included in the determination of Division income for management reporting or external disclosures. In addition to these charges and credits, certain selling, general and administrative expenses are not allocated to the Divisions and are managed at the Corporate level. Those expenses are addressed in the section “Unallocated Expenses”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recognized asset impairment charges of $6 million in the first quarter of 2024. Of these asset impairment charges, $5 million related to the impairment of operating lease ROU assets associated with our retail store locations, with the remainder relating to impairment of fixed assets. We recognized asset impairment charges of $4 million in the first quarter of 2023. Of these asset impairment charges, $3 million was related to impairment of operating lease ROU assets associated with our retail store locations.</w:t>
      </w:r>
    </w:p>
    <w:p>
      <w:pPr>
        <w:spacing w:after="0" w:line="126"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We regularly review retail store assets for impairment indicators at the individual store level, as this represents the lowest level of identifiable cash flows. When indicators of impairment are present, a recoverability analysis is performed which considers the estimated undiscounted cash flows over the retail store’s remaining life and uses inputs from retail operations and accounting and finance personnel. These inputs include our best estimates of retail store-level sales, gross margins, direct expenses, exercise of future lease renewal options when reasonably certain to be exercised, and resulting cash flows, which, by their nature, include judgments about how current initiatives will impact future performance. In the first quarter of 2024, the assumptions used within the recoverability analysis for the retail stores were updated to consider current quarter retail store operational results and formal plans for future retail store closures as part of our restructuring programs, including the probability of closure at the retail store level. While it is generally expected that closures will approximate the store’s lease termination date, it is possible that changes in store performance or other conditions could result in future changes in assumptions utilized. In addition, the assumptions used reflected declining sales over the forecast period, and gross margin and operating cost assumptions that are consistent with recent actual results and consider plans for future initiatives. If the undiscounted cash flows of a retail store cannot support the carrying amount of its assets, the assets are impaired and written down to estimated fair value.</w:t>
      </w:r>
    </w:p>
    <w:p>
      <w:pPr>
        <w:spacing w:after="0" w:line="1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72" w:right="239" w:bottom="1440" w:gutter="0" w:footer="0" w:header="0"/>
        </w:sectPr>
      </w:pPr>
    </w:p>
    <w:bookmarkStart w:id="24" w:name="page25"/>
    <w:bookmarkEnd w:id="24"/>
    <w:p>
      <w:pPr>
        <w:ind w:right="20"/>
        <w:spacing w:after="0" w:line="255" w:lineRule="auto"/>
        <w:rPr>
          <w:sz w:val="20"/>
          <w:szCs w:val="20"/>
          <w:color w:val="auto"/>
        </w:rPr>
      </w:pPr>
      <w:r>
        <w:rPr>
          <w:rFonts w:ascii="Times New Roman" w:cs="Times New Roman" w:eastAsia="Times New Roman" w:hAnsi="Times New Roman"/>
          <w:sz w:val="18"/>
          <w:szCs w:val="18"/>
          <w:color w:val="auto"/>
        </w:rPr>
        <w:t>We test our goodwill and indefinite-lived intangible assets for impairment annually as of the first day of fiscal December or more frequently when events or changes in circumstances indicate that impairment may have occurred. There were no events or changes in circumstances that indicate an impairment may have occurred during the first quarter of 2024. We will continue to evaluate the recoverability of goodwill at the reporting unit level on an annual basis and whenever events or changes in circumstances indicate there may be a potential impairment. If the operating results of our reporting units deteriorate in the future, it may cause the fair value of one or more of the reporting units to fall below their carrying value, resulting in goodwill impairment charges. Further, while we are currently in a strong liquidity and capital position, a significant deterioration may have a material impact on our liquidity and capital in future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and restructuring expenses, net</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taken actions to optimize our asset base and drive operational efficiencies. These actions include acquiring profitable businesses, closing underperforming retail stores and non-strategic distribution facilities, consolidating functional activities, eliminating redundant positions, and disposing of non-strategic businesses and assets. The expenses and any income recognized directly associated with these actions are included in Merger and restructuring expenses, net on a separate line in the Condensed Consolidated Statements of Operations in order to identify these activities apart from the expenses incurred to sell to and service customers. These expenses are not included in the determination of Division operating income.</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March 2024, our Board of Directors approved a restructuring plan to redesign our company-wide low-cost business model approach and create further efficiencies in our business to lower costs (“Project Core”). This was driven by a need to significantly reduce costs due to macroeconomic and other factors impacting our sales, as well as insights gained following the first year of operations of realignment of our operating segments into four divisions. The scope of Project Core was approved in two phases, in March 2024 and April 2024, and includes cost improvement actions across the entire enterprise, including our Varis Division. It aims to optimize our organizational structure to support future growth of the business. Project Core is expected to be completed in 2025, with the majority of actions expected to be taken by the end of 2024. Total estimated restructuring costs related to Project Core are estimated to be up to $57 million, of which $35 million are estimated to be termination benefits, which mainly consists of severance, and $22 million are estimated to be costs to facilitate the program, which mainly consists of third-party professional fees and other incremental employee-related costs to implement actions. All costs of Project Core are expected to be cash expenditures.</w:t>
      </w:r>
    </w:p>
    <w:p>
      <w:pPr>
        <w:spacing w:after="0" w:line="92"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Merger and restructuring expenses, net were $27 million in the first quarter of 2024 compared to less than $1 million in the first quarter of 2023. Of the expenses in the first quarter of 2024, $25 million relate to Project Core, which consists of $19 million of severance and $6 million of third-party professional fees. Refer to Note 2. “Merger and Restructuring Activity” in Notes to Condensed Consolidated Financial Statements for an additional analysis of these Corporate charges.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Expenses</w:t>
      </w:r>
    </w:p>
    <w:p>
      <w:pPr>
        <w:spacing w:after="0" w:line="14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allocate to our Divisions functional support expenses that are considered to be directly or closely related to segment activity. These allocated expenses are included in the measurement of Division operating income. Other companies may charge more or less for functional support expenses to their segments, and our results, therefore, may not be comparable to similarly titled measures used by other companies. The unallocated expenses primarily consist of the buildings used for our corporate headquarters and personnel not directly supporting the Divisions, including certain executive, finance, legal, audit and similar functions. Unallocated expenses were $24 million in the first quarter of 2024 compared to $23 million in the first quarter of 2023. The increase in the first quarter of 2024 compared to the prior year period was primarily due to higher corporate payroll and incentive expenses, partially offset by lower third-party legal 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Expense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4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(4 )</w:t>
            </w:r>
          </w:p>
        </w:tc>
        <w:tc>
          <w:tcPr>
            <w:tcW w:w="4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23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38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April 2020, we entered into the Third Amended Credit Agreement which provided for an aggregate principal amount of up to $1.3 billion asset-based revolving credit facility and asset-based FILO Term Loan Facility, maturing in April 2025. In 2022, we reduced our asset-based revolving credit facility by $200 million to $1.0 billion and retired $43 million of outstanding FILO Term Loan Facility loans under the Third Amended Credit Agreement. We recorded $1 million of interest expense in the first quarter of 2024 and $2 million of interest expense in the first quarter of 2023, related to the Third Amended Credit Agreement. We also recorded interest expense related to our finance lease obligations and revenue bonds in all periods presented.</w:t>
      </w:r>
    </w:p>
    <w:p>
      <w:pPr>
        <w:spacing w:after="0" w:line="10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Other income, net includes the pension credit related to the frozen OfficeMax pension and other benefit plans, as well as the pension credit related to the pension plan in the United Kingdom that has been retained by us in connection with the sale of the European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effective tax rate was 12% for the first quarter of 2024 and 23% for the first quarter of 2023. For the first quarter of 2024 the Company’s effective rate was primarily impacted by a tax benefit associated with stock-based compensation awards year-to-date and the settlement of an uncertain tax position for less than the reserve. For the first quarter of 2023, the Company’s effective rate was primarily impacted by the recognition of a tax benefit associated with stock-based compensation awards year-to-date. This along with the impact of state taxes and the mix of income and losses across U.S and non-U.S. jurisdictions, caused our effective tax rate to differ from the statutory rate of 21%. Changes in pretax income projections and the mix of income across jurisdictions could impact the effective tax rates in future quarters.</w:t>
      </w:r>
    </w:p>
    <w:p>
      <w:pPr>
        <w:spacing w:after="0" w:line="12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continue to have a U.S. valuation allowance for certain U.S. federal credits and state tax attributes, which relates to deferred tax assets that require certain types of income or for income to be earned in certain jurisdictions in order to be realized. We will continue to assess the realizability of our deferred tax assets in the U.S. and remaining foreign jurisdictions in future periods. Changes in pretax income projections could impact this evaluation in future periods.</w:t>
      </w:r>
    </w:p>
    <w:p>
      <w:pPr>
        <w:spacing w:after="0" w:line="1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file a U.S. federal income tax return and other income tax returns in various states and foreign jurisdictions. With few exceptions, we are no longer subject to U.S. federal and state and local income tax examinations for years prior to 2021 and 2014, respectively. The acquired OfficeMax U.S. consolidated group is no longer subject to U.S. federal income tax examination, and with few exceptions, is no longer subject to U.S. state and local income tax examinations for years prior to 2013. Generally, we are subject to routine examination for years 2013 and forward in our international tax jurisdictions.</w:t>
      </w:r>
    </w:p>
    <w:p>
      <w:pPr>
        <w:spacing w:after="0" w:line="9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It is anticipated that $3 million of tax positions will be resolved within the next 12 months. Additionally, we anticipate that it is reasonably possible that new issues will be raised or resolved by tax authorities that may require changes to the balance of unrecognized tax benefits; however, an estimate of such changes cannot be reasonably made at this time.</w:t>
      </w:r>
    </w:p>
    <w:p>
      <w:pPr>
        <w:spacing w:after="0" w:line="14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Organization for Economic Cooperation and Development reached agreement among various countries to implement a minimum 15% tax rate on certain multinational enterprises, commonly referred to as Pillar Two. Many countries continue to announce changes in their tax laws and regulations based on the Pillar Two proposals. We are continuing to evaluate the impact of these proposed and enacted legislative changes as new guidance becomes available. We do not expect these legislative changes to have an adverse impact on our effective tax rate, tax liabilities or cash tax.</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Refer to Note 11. “Discontinued Operations” in Notes to Condensed Consolidated Financial Statements for information regarding the CompuCom Division which is accounted for as discontinued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At March 30, 2024 and December 30, 2023, we had $282 million and $392 million in cash and cash equivalents, respectively, and $689 million and $696 million of available credit under the Third Amended Credit Agreement, respectively, for a total liquidity of approximately $971 million and $1.1 billion at the end of each respective period. Despite the weaker global economic conditions and the uncertainties related to the current macroeconomic environment, we currently believe that as a result of our strong financial position, including our cash and cash equivalents on hand, availability of funds under the Third Amended Credit Agreement, and future year cash flows generated from operations, we will be able to fund our working capital, capital expenditures, debt repayments, common stock repurchases, dividends (if any), merger integration and restructuring expenses, and future acquisitions consistent with our strategic growth initiatives for at least the next twelve months from the date of this Quarterly Report on Form 10-Q. From time to time, we may prepay outstanding debt and/or restructure or refinance debt obligations.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w:t>
      </w:r>
    </w:p>
    <w:p>
      <w:pPr>
        <w:spacing w:after="0" w:line="11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April 17, 2020, as disclosed in Note 6. “Debt,” we entered into the Third Amended and Restated Credit Agreement, which provides for a $1.2 billion asset-based revolving credit facility and a $100 million asset-based FILO Term Loan Facility, for an aggregate principal amount of up to $1.3 billion (the “New Facilities”). The New Facilities mature in April 2025. The Third Amended and Restated Credit Agreement replaced our then existing amended and restated credit agreement that was due to mature in May 2021. In 2022, we reduced our asset-based revolving credit facility by $200 million to $1.0 billion and retired $43 million of outstanding FILO Term Loan Facility loans under the Third Amended Credit Agreement. Also, during the first quarter of 2023, the Third Amended Credit Agreement was amended to replace the LIBOR-based Eurocurrency reference interest rate option with a reference interest rate option based upon SOFR. Other than the foregoing, the material terms of the Third Amended Credit Agreement remain unchanged.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6" w:name="page27"/>
    <w:bookmarkEnd w:id="26"/>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we retired $53 million of outstanding FILO Term Loan Facility loans, resulting in no FILO Term Facility loans at March 30, 2024. This was funded through available liquidity. There were no revolving loans outstanding at March 30, 2024. At March 30, 2024, we had $37 million of outstanding standby letters of credit and $689 million of available credit under the Third Amended Credit Agreement. We were in compliance with all applicable covenants at March 30,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Acquisitions and dispositions</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addition to the business acquisition disclosed herein, we have evaluated, and expect to continue to evaluate, possible acquisitions and dispositions of businesses and assets in connection with our strategic transformation. Such transactions may be material and may involve cash, our securities or the incurrence of additional indebtedness.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estimate capital expenditures in 2024 to be up to approximately $105 million, which includes investments to support our business priorities. These expenditures will be funded through available cash on hand and operating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Return Programs – Share Repurchases and Dividends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October 2022, our Board of Directors approved a new stock repurchase program of up to $1 billion, available through December 31, 2025, to replace the then existing $600 million stock repurchase program effective November 3, 2022. In February 2024, our Board of Directors approved a new stock repurchase program of up to $1 billion of our common stock, available through March 31, 2027, which replaced the then existing $1 billion stock repurchase program. In the first quarter of 2024, we repurchased 957 million shares of our common stock for total consideration of $50 million. As of March 30, 2024, $972 million remains available for stock repurchases under the current stock repurchase program. Subsequent to the end of the first quarter of 2024 and through May 1, 2024, we repurchased 703 thousand shares of our common stock at a cost of $36 million.</w:t>
      </w:r>
    </w:p>
    <w:p>
      <w:pPr>
        <w:spacing w:after="0" w:line="1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new authorization may be suspended or discontinued at any time. The stock repurchase authorization permits us to repurchase stock from time-to-time through a combination of open market repurchases, privately negotiated transactions, 10b5-1 trading plans, accelerated stock repurchase transactions and/or other derivative transactions. The exact number and timing of stock repurchases will depend on market conditions and other factors and will be funded through available cash balances. Our Third Amended Credit Agreement permits restricted payments, such as common stock repurchases, but may be limited if we do not meet the required minimum liquidity or fixed charge coverage ratio requirements. The authorized amount under the stock repurchase program excludes fees, commissions, taxes or other expenses.</w:t>
      </w:r>
    </w:p>
    <w:p>
      <w:pPr>
        <w:spacing w:after="0" w:line="13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did not declare any cash dividends in the first quarter of 2024. We do not anticipate declaring cash dividends in the foreseeable future. Our Third Amended Credit Agreement permits restricted payments, such as dividends, but may be limited if we do not meet the required minimum liquidity or fixed charge coverage ratio requirements.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continue to evaluate our capital return programs as appropriate. Decisions regarding future share repurchases and dividends are within the discretion of our Board of Directors, and depend on a number of factors, including, general business and economic conditions, which includes the impact of COVID-19 on such conditions, and other factors which are discussed in this discussion and analysis and “Risk Factors” within Other Key Information in our 2023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(used in) operating, investing and financing activities of continuing operations is summarized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activities of continuing operations</w:t>
            </w:r>
          </w:p>
        </w:tc>
        <w:tc>
          <w:tcPr>
            <w:tcW w:w="36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FF0FC"/>
          </w:tcPr>
          <w:p>
            <w:pPr>
              <w:spacing w:after="0"/>
              <w:rPr>
                <w:sz w:val="19"/>
                <w:szCs w:val="19"/>
                <w:color w:val="auto"/>
              </w:rPr>
            </w:pP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 of continuing operations</w:t>
            </w:r>
          </w:p>
        </w:tc>
        <w:tc>
          <w:tcPr>
            <w:tcW w:w="3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(34 )</w:t>
            </w:r>
          </w:p>
        </w:tc>
        <w:tc>
          <w:tcPr>
            <w:tcW w:w="4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(36 )</w:t>
            </w:r>
          </w:p>
        </w:tc>
      </w:tr>
      <w:tr>
        <w:trPr>
          <w:trHeight w:val="23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Financing activities of continuing operations</w:t>
            </w:r>
          </w:p>
        </w:tc>
        <w:tc>
          <w:tcPr>
            <w:tcW w:w="3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(113 )</w:t>
            </w:r>
          </w:p>
        </w:tc>
        <w:tc>
          <w:tcPr>
            <w:tcW w:w="46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(185 )</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the first quarter of 2024, cash provided by operating activities of continuing operations was $38 million, compared to $157 million during the corresponding period in 2023. This decrease in cash flows from operating activities was primarily driven by $50 million less net income after adjusting for non-cash charges, $25 million less usage of deferred tax assets, and $44 million less cash flows from working capital. Working capital is influenced by a number of factors, including period end sales, the flow of goods, credit terms, timing of promotions, vendor production planning, new product introductions and working capital management. In the first quarter of 2024, the primary drivers for lower cash flows from working capital were $33 million less cash flows from our trade payables and other liabilities, and $8 million less cash flows from our inventories. The changes in our payables and other liabilities are reflective of the timing of payments. The change in inventories is mainly attributable to purchase volume.</w:t>
      </w:r>
    </w:p>
    <w:p>
      <w:pPr>
        <w:spacing w:after="0" w:line="13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our accounting policy on cash management, refer to Note 1. “Summary of Significant Accounting Policies” in Notes to Condensed Consolidated Financial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Investing Activities</w:t>
      </w:r>
    </w:p>
    <w:p>
      <w:pPr>
        <w:spacing w:after="0" w:line="173"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of continuing operations was $34 million in the first quarter of 2024, compared to cash used in investing activities of continuing operations of $36 million in the first quarter of 2023. The cash outflow in the first quarter of 2024 was driven by $35 million in capital expenditures associated with improvements in our service platform, distribution network, and eCommerce capabilities, partially offset by $1 million of proceeds from disposition of assets. The cash outflow in the first quarter of 2023 was driven by $27 million in capital expenditures associated with improvements in our service platform, distribution network, and eCommerce capabilities, as well as $10 million related to a business acquisition. These outflows were partially offset by proceeds from sale of assets of $1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Cash used in financing activities of continuing operations was $113 million in the first quarter of 2024, compared to $185 million in the first quarter of 2023. The cash outflow in the first quarter of 2024 primarily consisted of $50 million in repurchases of common stock, including commissions, $53 million related to the retirement of our FILO Term Loan Facility loans, $6 million share purchases for taxes, net of proceeds, for employee share-based transactions, and $3 million of net payments on long- and short-term borrowings activity related to our debt. The cash outflow in the first quarter of 2023 primarily consisted of $201 million in repurchases of common stock, including commissions, $40 million net borrowing on our asset-based revolving credit facility, $19 million share purchases for taxes, net of proceeds, for employee share-based transactions, and $5 million of net payments on long- and short-term borrowings activity related to our debt.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cash flow related to operating and financing activities of discontinued operations for the first quarter of 2024 or the first quarter of 2023.</w:t>
      </w:r>
    </w:p>
    <w:p>
      <w:pPr>
        <w:spacing w:after="0" w:line="117"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There was no cash flow related to investing activities of discontinued operations in the first quarter of 2024 compared to cash provided by investing activities of discontinued operations of $5 million in the first quarter of 2023. The cash flows in the comparative period represent proceeds from the purchaser to settle the cash, debt and working capital adjustments related to sale of our CompuCom Division.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4"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For a description of new applicable accounting standards, refer to Note 1. “Summary of Significant Accounting Policies” in Notes to Condensed Consolidated Financial Statements of this Quarterly Report on Form 10-Q.</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CRITICAL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accounting principles generally accepted in the United States of America. Preparation of these statements requires management to make judgments and estimates. Some accounting policies have a significant impact on amounts reported in these financial statements. A summary of significant accounting policies and a description of accounting policies that are considered critical may be found in our 2023 Form 10-K, in Note 1 of the Notes to Consolidated Financial Statements and the Critical Accounting Policies and Estimates section of the Management’s Discussion and Analysis of Financial Condition and Results of Operations. Except for our accounting policy updates described in Note 1 “Summary of Significant Accounting Policies” in Notes to Condensed Consolidated Financial Statements of this Quarterly Report on Form 10-Q, there have been no significant changes to our critical accounting policies since December 30, 2023.</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March 30, 2024, there had not been a material change in the interest rate, foreign exchange, and commodities risks information disclosed in the “Market Sensitive Risks and Positions” subsection of the Management’s Discussion and Analysis of Financial Condition and Results of Operations set forth in our 2023 Form 10-K.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is accumulated and communicated to our management, including our principal executive officer and principal financial officer, as appropriate, to allow timely decisions regarding required disclosure. Our management recognizes that any controls and procedures, no matter how well designed and operated, can only provide reasonable assurance of achieving their objectives and management necessarily applies its judgment in evaluating the possible controls and procedures. Each reporting period, we carry out an evaluation, with the participation of our principal executive officer and principal financial officer, or persons performing similar functions, of the effectiveness of the design and operation of our disclosure controls and procedures as defined in Rules 13a-15(e) and 15d-15(e) under the Exchange Act.</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on management’s evaluation, our principal executive officer and principal financial officer have concluded that, as of March 30, 2024, our disclosure controls and procedures were effective to provide reasonable assurance that information required to be disclosed by us in reports that we file or submit under the Exchange Act is recorded, processed, summarized and reported within the time periods specified in SEC rules and forms and that such information is accumulated and communicated to management, including the principal executive officer and the principal financial officer, or persons performing similar functions, as appropriate, to allow timely decisions regarding required disclosures.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30, 2024 that have materially affected, or are reasonably likely to materially affect, our internal control over financial reporting.</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description of our legal proceedings, see Note 10. “Contingencies” in Notes to Condensed Consolidated Financial Statements of this Quarterly Report on Form 10-Q.</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with respect to the risk factors disclosed in our 2023 Form 10-K.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2"/>
          <w:szCs w:val="22"/>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repurchased 957 thousand shares of our common stock at a cost of $50 million in the first quarter of 2024. As of March 30, 2024, $972 million remained available for additional repurchases under the current stock repurchase. Subsequent to the end of the first quarter of 2024 and through May 1, 2024, we repurchased 703 thousand shares of our common stock at a cost of $36 million.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 Shares</w:t>
            </w: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a Publicly</w:t>
            </w:r>
          </w:p>
        </w:tc>
        <w:tc>
          <w:tcPr>
            <w:tcW w:w="220" w:type="dxa"/>
            <w:vAlign w:val="bottom"/>
          </w:tcPr>
          <w:p>
            <w:pPr>
              <w:spacing w:after="0"/>
              <w:rPr>
                <w:sz w:val="15"/>
                <w:szCs w:val="15"/>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the Repurchase</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6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2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89"/>
        </w:trPr>
        <w:tc>
          <w:tcPr>
            <w:tcW w:w="5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6"/>
              <w:spacing w:after="0" w:line="189" w:lineRule="exact"/>
              <w:rPr>
                <w:sz w:val="20"/>
                <w:szCs w:val="20"/>
                <w:color w:val="auto"/>
              </w:rPr>
            </w:pPr>
            <w:r>
              <w:rPr>
                <w:rFonts w:ascii="Times New Roman" w:cs="Times New Roman" w:eastAsia="Times New Roman" w:hAnsi="Times New Roman"/>
                <w:sz w:val="14"/>
                <w:szCs w:val="14"/>
                <w:b w:val="1"/>
                <w:bCs w:val="1"/>
                <w:i w:val="1"/>
                <w:iCs w:val="1"/>
                <w:color w:val="auto"/>
                <w:w w:val="98"/>
              </w:rPr>
              <w:t xml:space="preserve">(In millions) </w:t>
            </w:r>
            <w:r>
              <w:rPr>
                <w:rFonts w:ascii="Times New Roman" w:cs="Times New Roman" w:eastAsia="Times New Roman" w:hAnsi="Times New Roman"/>
                <w:sz w:val="19"/>
                <w:szCs w:val="19"/>
                <w:b w:val="1"/>
                <w:bCs w:val="1"/>
                <w:i w:val="1"/>
                <w:iCs w:val="1"/>
                <w:color w:val="auto"/>
                <w:w w:val="98"/>
                <w:vertAlign w:val="subscript"/>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2023 — January 27, 2024</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52.89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January 28, 2024 — February 24, 2024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February 25, 2024 — March 30, 2024</w:t>
            </w:r>
          </w:p>
        </w:tc>
        <w:tc>
          <w:tcPr>
            <w:tcW w:w="1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52.31</w:t>
            </w:r>
          </w:p>
        </w:tc>
        <w:tc>
          <w:tcPr>
            <w:tcW w:w="2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0" w:type="dxa"/>
            <w:vAlign w:val="bottom"/>
            <w:tcBorders>
              <w:bottom w:val="single" w:sz="8" w:color="auto"/>
            </w:tcBorders>
          </w:tcPr>
          <w:p>
            <w:pPr>
              <w:spacing w:after="0"/>
              <w:rPr>
                <w:sz w:val="18"/>
                <w:szCs w:val="18"/>
                <w:color w:val="auto"/>
              </w:rPr>
            </w:pPr>
          </w:p>
        </w:tc>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-334010</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-334010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-334010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240" w:firstLine="8"/>
        <w:spacing w:after="0" w:line="28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our Board of Directors approved a new stock repurchase program of up to $1 billion, available through March 31, 2027, to replace the existing $1 billion stock repurchase program effective March 4, 2024.</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new authorization may be suspended or discontinued at any time. The stock repurchase authorization permits us to repurchase stock from time-to-time through a combination of open market repurchases, privately negotiated transactions, 10b5-1 trading plans, accelerated stock repurchase transactions and/or other derivative transactions. The exact number and timing of stock repurchases will depend on market conditions and other factors and will be funded through available cash balances. Our Third Amended Credit Agreement permits restricted payments, such as common stock repurchases, but may be limited if we do not meet the required minimum liquidity or fixed charge coverage ratio requirements. The authorized amount under the stock repurchase program excludes fees, commissions, taxes or other expenses.</w:t>
      </w:r>
    </w:p>
    <w:p>
      <w:pPr>
        <w:spacing w:after="0" w:line="13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did not declare any cash dividends in first quarter of 2024 and do not anticipate declaring cash dividends in the foreseeable future. Our Third Amended Credit Agreement permits restricted payments, such as dividends, but may be limited if we do not meet the required minimum liquidity or fixed charge coverage ratio requirements.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March 5, 2024, John Gannfors, Executive Vice President and President of Veyer, entered into a trading plan designed to satisfy the affirmative defense of Rule 10b5-1 under the Securities Exchange Act of 1934, as amended. The trading plan provides for sales of up to 24,955 shares of our common stock beginning on June 7, 2024 until December 31, 2024 or once all of the shares have been sold. The trading plan is in accordance with our securities trading policy.</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March 6, 2024, Kevin Moffitt, Executive Vice President and President of Office Depot, entered into a trading plan designed to satisfy the affirmative defense of Rule 10b5-1 under the Securities Exchange Act of 1934, as amended. The trading plan provides for sales of up to 23,898 shares of our common stock beginning on June 10, 2024 until December 31, 2024 or once all of the shares have been sold. The trading plan is in accordance with our securities trading policy.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1"/>
          <w:szCs w:val="2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1003" w:right="619" w:bottom="1440" w:gutter="0" w:footer="0" w:header="0"/>
        </w:sectPr>
      </w:pP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31.1</w:t>
            </w: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required by Securities and Exchange Commission Rule 13a-14(a) or 15d-14(a)</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372"/>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31.2</w:t>
            </w: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by Securities and Exchange Commission Rule 13a-14(a) or 15d-14(a)</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88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1180" w:hanging="1114"/>
        <w:spacing w:after="0" w:line="282"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-185420</wp:posOffset>
            </wp:positionV>
            <wp:extent cx="62306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30620"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-48260</wp:posOffset>
            </wp:positionV>
            <wp:extent cx="2167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67255" cy="8255"/>
                    </a:xfrm>
                    <a:prstGeom prst="rect">
                      <a:avLst/>
                    </a:prstGeom>
                    <a:noFill/>
                  </pic:spPr>
                </pic:pic>
              </a:graphicData>
            </a:graphic>
          </wp:anchor>
        </w:drawing>
      </w:r>
    </w:p>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Omnibus Amendment To 2021 FCF Performance Share Award Agreements And 2021 TSR Performance Share Award Agreements</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30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r>
      <w:tr>
        <w:trPr>
          <w:trHeight w:val="37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0000FF"/>
                <w:w w:val="98"/>
              </w:rPr>
              <w:t>Omnibus Amendment To 2021</w:t>
            </w:r>
          </w:p>
        </w:tc>
        <w:tc>
          <w:tcPr>
            <w:tcW w:w="7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Restricted Stock Unit Award Agreements</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526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Omnibus Amendment To 2022 TSR Performance Share Award Agreements</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0000FF"/>
                <w:w w:val="98"/>
              </w:rPr>
              <w:t>Omnibus Amendment To 2022</w:t>
            </w:r>
          </w:p>
        </w:tc>
        <w:tc>
          <w:tcPr>
            <w:tcW w:w="7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Restricted Stock Unit Award Agreements</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302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0000FF"/>
                <w:w w:val="98"/>
              </w:rPr>
              <w:t>Omnibus Amendment To 2023</w:t>
            </w:r>
          </w:p>
        </w:tc>
        <w:tc>
          <w:tcPr>
            <w:tcW w:w="7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Restricted Stock Unit Award Agreements - Canada</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r>
      <w:tr>
        <w:trPr>
          <w:trHeight w:val="37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0000FF"/>
                <w:w w:val="98"/>
              </w:rPr>
              <w:t>Omnibus Amendment To 2023</w:t>
            </w:r>
          </w:p>
        </w:tc>
        <w:tc>
          <w:tcPr>
            <w:tcW w:w="71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Restricted Stock Unit Award Agreements</w:t>
            </w: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5260" w:type="dxa"/>
            <w:vAlign w:val="bottom"/>
            <w:tcBorders>
              <w:right w:val="single" w:sz="8" w:color="0000EE"/>
            </w:tcBorders>
            <w:gridSpan w:val="2"/>
            <w:shd w:val="clear" w:color="auto" w:fill="0000FF"/>
          </w:tcPr>
          <w:p>
            <w:pPr>
              <w:spacing w:after="0" w:line="20" w:lineRule="exact"/>
              <w:rPr>
                <w:sz w:val="1"/>
                <w:szCs w:val="1"/>
                <w:color w:val="auto"/>
              </w:rPr>
            </w:pPr>
          </w:p>
        </w:tc>
        <w:tc>
          <w:tcPr>
            <w:tcW w:w="4160" w:type="dxa"/>
            <w:vAlign w:val="bottom"/>
            <w:gridSpan w:val="3"/>
          </w:tcPr>
          <w:p>
            <w:pPr>
              <w:spacing w:after="0" w:line="20" w:lineRule="exact"/>
              <w:rPr>
                <w:sz w:val="1"/>
                <w:szCs w:val="1"/>
                <w:color w:val="auto"/>
              </w:rPr>
            </w:pPr>
          </w:p>
        </w:tc>
      </w:tr>
      <w:tr>
        <w:trPr>
          <w:trHeight w:val="39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1140" w:type="dxa"/>
            <w:vAlign w:val="bottom"/>
          </w:tcPr>
          <w:p>
            <w:pPr>
              <w:spacing w:after="0"/>
              <w:rPr>
                <w:sz w:val="20"/>
                <w:szCs w:val="20"/>
                <w:color w:val="auto"/>
              </w:rPr>
            </w:pP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57" w:lineRule="exact"/>
        <w:rPr>
          <w:sz w:val="20"/>
          <w:szCs w:val="20"/>
          <w:color w:val="auto"/>
        </w:rPr>
      </w:pPr>
    </w:p>
    <w:p>
      <w:pPr>
        <w:ind w:left="1180" w:hanging="1114"/>
        <w:spacing w:after="0"/>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has been formatted in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03" w:right="6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22"/>
          <w:szCs w:val="22"/>
          <w:color w:val="auto"/>
        </w:rPr>
        <w:t>FORM 10-Q CROSS-REFERENCE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Item</w:t>
            </w:r>
          </w:p>
        </w:tc>
        <w:tc>
          <w:tcPr>
            <w:tcW w:w="9560" w:type="dxa"/>
            <w:vAlign w:val="bottom"/>
            <w:gridSpan w:val="13"/>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34"/>
        </w:trPr>
        <w:tc>
          <w:tcPr>
            <w:tcW w:w="9940" w:type="dxa"/>
            <w:vAlign w:val="bottom"/>
            <w:gridSpan w:val="16"/>
            <w:vMerge w:val="restart"/>
          </w:tcPr>
          <w:p>
            <w:pPr>
              <w:ind w:left="20"/>
              <w:spacing w:after="0"/>
              <w:rPr>
                <w:sz w:val="20"/>
                <w:szCs w:val="20"/>
                <w:color w:val="auto"/>
              </w:rPr>
            </w:pPr>
            <w:r>
              <w:rPr>
                <w:rFonts w:ascii="Times New Roman" w:cs="Times New Roman" w:eastAsia="Times New Roman" w:hAnsi="Times New Roman"/>
                <w:sz w:val="18"/>
                <w:szCs w:val="18"/>
                <w:color w:val="auto"/>
              </w:rPr>
              <w:t>Part I - Financial Information</w:t>
            </w: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40" w:type="dxa"/>
            <w:vAlign w:val="bottom"/>
            <w:gridSpan w:val="16"/>
            <w:vMerge w:val="continue"/>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60" w:type="dxa"/>
            <w:vAlign w:val="bottom"/>
            <w:gridSpan w:val="12"/>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1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(Unaudited)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(Unaudited)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2100" w:type="dxa"/>
            <w:vAlign w:val="bottom"/>
            <w:tcBorders>
              <w:left w:val="single" w:sz="8" w:color="0000FF"/>
            </w:tcBorders>
            <w:gridSpan w:val="4"/>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Borders>
              <w:right w:val="single" w:sz="8" w:color="0000FF"/>
            </w:tcBorders>
            <w:gridSpan w:val="2"/>
            <w:shd w:val="clear" w:color="auto" w:fill="0000FF"/>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94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auto"/>
              </w:rPr>
              <w:t>Part II - Other Information</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58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0000FF"/>
              </w:rPr>
              <w:t>Item 1. Legal Proceedings</w:t>
            </w:r>
          </w:p>
        </w:tc>
        <w:tc>
          <w:tcPr>
            <w:tcW w:w="1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3"/>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680" w:type="dxa"/>
            <w:vAlign w:val="bottom"/>
            <w:gridSpan w:val="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58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0000FF"/>
              </w:rPr>
              <w:t>Item 5. Other Information</w:t>
            </w:r>
          </w:p>
        </w:tc>
        <w:tc>
          <w:tcPr>
            <w:tcW w:w="1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720" w:type="dxa"/>
            <w:vAlign w:val="bottom"/>
            <w:gridSpan w:val="8"/>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5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gridSpan w:val="2"/>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440" w:type="dxa"/>
            <w:vAlign w:val="bottom"/>
            <w:gridSpan w:val="1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4"/>
                <w:szCs w:val="24"/>
                <w:color w:val="auto"/>
              </w:rPr>
            </w:pPr>
          </w:p>
        </w:tc>
        <w:tc>
          <w:tcPr>
            <w:tcW w:w="5200" w:type="dxa"/>
            <w:vAlign w:val="bottom"/>
            <w:gridSpan w:val="8"/>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Pr>
          <w:p>
            <w:pPr>
              <w:spacing w:after="0"/>
              <w:rPr>
                <w:sz w:val="20"/>
                <w:szCs w:val="20"/>
                <w:color w:val="auto"/>
              </w:rPr>
            </w:pPr>
          </w:p>
        </w:tc>
        <w:tc>
          <w:tcPr>
            <w:tcW w:w="58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 ODP CORPORATION</w:t>
            </w:r>
          </w:p>
        </w:tc>
      </w:tr>
      <w:tr>
        <w:trPr>
          <w:trHeight w:val="234"/>
        </w:trPr>
        <w:tc>
          <w:tcPr>
            <w:tcW w:w="5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2024</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GERRY P. SMITH</w:t>
            </w:r>
          </w:p>
        </w:tc>
      </w:tr>
      <w:tr>
        <w:trPr>
          <w:trHeight w:val="228"/>
        </w:trPr>
        <w:tc>
          <w:tcPr>
            <w:tcW w:w="5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Gerry P. Smith</w:t>
            </w:r>
          </w:p>
        </w:tc>
      </w:tr>
      <w:tr>
        <w:trPr>
          <w:trHeight w:val="238"/>
        </w:trPr>
        <w:tc>
          <w:tcPr>
            <w:tcW w:w="5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5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0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2024</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 ANTHONY SCAGLIONE</w:t>
            </w:r>
          </w:p>
        </w:tc>
      </w:tr>
      <w:tr>
        <w:trPr>
          <w:trHeight w:val="228"/>
        </w:trPr>
        <w:tc>
          <w:tcPr>
            <w:tcW w:w="5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 Anthony Scaglione</w:t>
            </w:r>
          </w:p>
        </w:tc>
      </w:tr>
      <w:tr>
        <w:trPr>
          <w:trHeight w:val="238"/>
        </w:trPr>
        <w:tc>
          <w:tcPr>
            <w:tcW w:w="5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w:t>
            </w:r>
          </w:p>
        </w:tc>
      </w:tr>
      <w:tr>
        <w:trPr>
          <w:trHeight w:val="243"/>
        </w:trPr>
        <w:tc>
          <w:tcPr>
            <w:tcW w:w="5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5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2024</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MAX W. HOOD</w:t>
            </w:r>
          </w:p>
        </w:tc>
      </w:tr>
      <w:tr>
        <w:trPr>
          <w:trHeight w:val="228"/>
        </w:trPr>
        <w:tc>
          <w:tcPr>
            <w:tcW w:w="5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 W. Hood</w:t>
            </w:r>
          </w:p>
        </w:tc>
      </w:tr>
      <w:tr>
        <w:trPr>
          <w:trHeight w:val="238"/>
        </w:trPr>
        <w:tc>
          <w:tcPr>
            <w:tcW w:w="5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43"/>
        </w:trPr>
        <w:tc>
          <w:tcPr>
            <w:tcW w:w="5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43"/>
        </w:trPr>
        <w:tc>
          <w:tcPr>
            <w:tcW w:w="5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662"/>
        </w:trPr>
        <w:tc>
          <w:tcPr>
            <w:tcW w:w="54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763"/>
        </w:trPr>
        <w:tc>
          <w:tcPr>
            <w:tcW w:w="54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OMNIBUS AMENDMENT TO</w:t>
      </w: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2021 FCF PERFORMANCE SHARE AWARD AGREEMENTS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2021 TSR PERFORMANCE SHARE AWARD AGREEMENTS</w:t>
      </w:r>
    </w:p>
    <w:p>
      <w:pPr>
        <w:spacing w:after="0" w:line="200" w:lineRule="exact"/>
        <w:rPr>
          <w:sz w:val="20"/>
          <w:szCs w:val="20"/>
          <w:color w:val="auto"/>
        </w:rPr>
      </w:pPr>
    </w:p>
    <w:p>
      <w:pPr>
        <w:spacing w:after="0" w:line="221"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THIS AMENDMENT </w:t>
      </w:r>
      <w:r>
        <w:rPr>
          <w:rFonts w:ascii="Times New Roman" w:cs="Times New Roman" w:eastAsia="Times New Roman" w:hAnsi="Times New Roman"/>
          <w:sz w:val="22"/>
          <w:szCs w:val="22"/>
          <w:color w:val="auto"/>
        </w:rPr>
        <w:t>is made as of the 26th day of February, 2024, by The ODP Corporation, a Delaware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w:t>
      </w:r>
    </w:p>
    <w:p>
      <w:pPr>
        <w:spacing w:after="0" w:line="150"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Compensation &amp; Talent Committee (the “Committee”) of the Board of Directors of the Company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share awards pursuant to The ODP Corporation 2021 Long-Term Incentive Plan (the “Plan”) as part of its 2021 annual long-term incentive program with a grant date of April 22, 2021 (the “2021 PSUs”);</w:t>
      </w:r>
    </w:p>
    <w:p>
      <w:pPr>
        <w:spacing w:after="0" w:line="194"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2021 PSUs are evidenced by one set of award agreements entitled “2021 FCF PERFORMANCE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 and a second set of award agreements entitled “2021 TSR PERFORMANCE SHARE AWARD AGREEMENT” (collectively, the “2021 PSU Award Agreements”);</w:t>
      </w:r>
    </w:p>
    <w:p>
      <w:pPr>
        <w:spacing w:after="0" w:line="19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Committee has amended the 2021 PSU Award Agreements for the 2021 PSUs that remained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on February 26, 2024, to provide accelerated vesting of such 2021 PSUs in certain situations as specified herein;</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2021 PSU Award Agreements for the 2021 PSUs outstanding on February 26, 2024,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amended as follows, effective February 26, 2024:</w:t>
      </w:r>
    </w:p>
    <w:p>
      <w:pPr>
        <w:spacing w:after="0" w:line="154" w:lineRule="exact"/>
        <w:rPr>
          <w:sz w:val="20"/>
          <w:szCs w:val="20"/>
          <w:color w:val="auto"/>
        </w:rPr>
      </w:pPr>
    </w:p>
    <w:p>
      <w:pPr>
        <w:ind w:left="380" w:hanging="372"/>
        <w:spacing w:after="0" w:line="258" w:lineRule="auto"/>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2(b) of each such 2021 PSU Award Agreement is amended by redesignating subsections (iii) and (iv), respectively, as subsections (iv) and (v), respectively.</w:t>
      </w:r>
    </w:p>
    <w:p>
      <w:pPr>
        <w:spacing w:after="0" w:line="158" w:lineRule="exact"/>
        <w:rPr>
          <w:rFonts w:ascii="Times New Roman" w:cs="Times New Roman" w:eastAsia="Times New Roman" w:hAnsi="Times New Roman"/>
          <w:sz w:val="22"/>
          <w:szCs w:val="22"/>
          <w:color w:val="auto"/>
        </w:rPr>
      </w:pPr>
    </w:p>
    <w:p>
      <w:pPr>
        <w:ind w:left="380" w:hanging="372"/>
        <w:spacing w:after="0" w:line="258" w:lineRule="auto"/>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2(b) of each such 2021 PSU Award Agreement is amended by adding a new subsection (iii) immediately following existing subsection (ii) to read as follows:</w:t>
      </w:r>
    </w:p>
    <w:p>
      <w:pPr>
        <w:spacing w:after="0" w:line="158" w:lineRule="exact"/>
        <w:rPr>
          <w:sz w:val="20"/>
          <w:szCs w:val="20"/>
          <w:color w:val="auto"/>
        </w:rPr>
      </w:pPr>
    </w:p>
    <w:p>
      <w:pPr>
        <w:jc w:val="both"/>
        <w:ind w:left="1500" w:hanging="694"/>
        <w:spacing w:after="0" w:line="248" w:lineRule="auto"/>
        <w:rPr>
          <w:sz w:val="20"/>
          <w:szCs w:val="20"/>
          <w:color w:val="auto"/>
        </w:rPr>
      </w:pPr>
      <w:r>
        <w:rPr>
          <w:rFonts w:ascii="Times New Roman" w:cs="Times New Roman" w:eastAsia="Times New Roman" w:hAnsi="Times New Roman"/>
          <w:sz w:val="21"/>
          <w:szCs w:val="21"/>
          <w:color w:val="auto"/>
        </w:rPr>
        <w:t xml:space="preserve">“iii) </w:t>
      </w:r>
      <w:r>
        <w:rPr>
          <w:rFonts w:ascii="Times New Roman" w:cs="Times New Roman" w:eastAsia="Times New Roman" w:hAnsi="Times New Roman"/>
          <w:sz w:val="21"/>
          <w:szCs w:val="21"/>
          <w:u w:val="single" w:color="auto"/>
          <w:color w:val="auto"/>
        </w:rPr>
        <w:t>Involuntary Termination of Employment without Cause; Resignation pursuant to Voluntary Exit Incentive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Program</w:t>
      </w:r>
      <w:r>
        <w:rPr>
          <w:rFonts w:ascii="Times New Roman" w:cs="Times New Roman" w:eastAsia="Times New Roman" w:hAnsi="Times New Roman"/>
          <w:sz w:val="21"/>
          <w:szCs w:val="21"/>
          <w:color w:val="auto"/>
        </w:rPr>
        <w:t>. In the event the Company and its Subsidiaries initiate your termination of employment without Cause after February 26, 2024 and prior to the Vesting Date, you will vest in your Eligible Award on the Vesting Date despite your termination of employment. In the event you resign your employment with the Company and its Subsidiaries after February 26, 2024 and prior to the Vesting Date pursuant to a Voluntary Exit Incentive Program established by the Company in its discretion after February 26, 2024 and prior to the Vesting Date, you will vest in your Eligible Award on the Vesting Date despite your termination of employment.”</w:t>
      </w:r>
    </w:p>
    <w:p>
      <w:pPr>
        <w:spacing w:after="0" w:line="197" w:lineRule="exact"/>
        <w:rPr>
          <w:sz w:val="20"/>
          <w:szCs w:val="20"/>
          <w:color w:val="auto"/>
        </w:rPr>
      </w:pPr>
    </w:p>
    <w:p>
      <w:pPr>
        <w:ind w:right="2380" w:firstLine="8"/>
        <w:spacing w:after="0" w:line="448" w:lineRule="auto"/>
        <w:tabs>
          <w:tab w:leader="none" w:pos="374"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hereby amended, the 2021 PSU Award Agreements shall remain in full force and effect. Very truly yours,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ODP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OMNIBUS AMENDMENT TO</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2021 RESTRICTED STOCK UNIT AWARD AGREEMENTS</w:t>
      </w:r>
    </w:p>
    <w:p>
      <w:pPr>
        <w:spacing w:after="0" w:line="200" w:lineRule="exact"/>
        <w:rPr>
          <w:sz w:val="20"/>
          <w:szCs w:val="20"/>
          <w:color w:val="auto"/>
        </w:rPr>
      </w:pPr>
    </w:p>
    <w:p>
      <w:pPr>
        <w:spacing w:after="0" w:line="221"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THIS AMENDMENT </w:t>
      </w:r>
      <w:r>
        <w:rPr>
          <w:rFonts w:ascii="Times New Roman" w:cs="Times New Roman" w:eastAsia="Times New Roman" w:hAnsi="Times New Roman"/>
          <w:sz w:val="22"/>
          <w:szCs w:val="22"/>
          <w:color w:val="auto"/>
        </w:rPr>
        <w:t>is made as of the 26th day of February, 2024, by The ODP Corporation, a Delaware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w:t>
      </w:r>
    </w:p>
    <w:p>
      <w:pPr>
        <w:spacing w:after="0" w:line="150"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Compensation &amp; Talent Committee (the “Committee”) of the Board of Directors of the Company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time-based restricted stock unit awards pursuant to The ODP Corporation 2021 Long-Term Incentive Plan (the “Plan”) as part of its 2021 annual long-term incentive program with a grant date of April 22, 2021 (the “2021 RSUs”);</w:t>
      </w:r>
    </w:p>
    <w:p>
      <w:pPr>
        <w:spacing w:after="0" w:line="194"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2021 RSUs are evidenced by award agreements entitled “2021 RESTRICTED STOCK UNIT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“2021 RSU Award Agreements”);</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Committee has amended the 2021 RSU Award Agreements for the 2021 RSUs that remained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on February 26, 2024, to provide accelerated vesting of such 2021 RSUs as specified herein;</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2021 RSU Award Agreements for the 2021 RSUs outstanding on February 26, 2024,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amended as follows, effective February 26, 2024:</w:t>
      </w:r>
    </w:p>
    <w:p>
      <w:pPr>
        <w:spacing w:after="0" w:line="154" w:lineRule="exact"/>
        <w:rPr>
          <w:sz w:val="20"/>
          <w:szCs w:val="20"/>
          <w:color w:val="auto"/>
        </w:rPr>
      </w:pPr>
    </w:p>
    <w:p>
      <w:pPr>
        <w:ind w:left="380" w:hanging="372"/>
        <w:spacing w:after="0" w:line="258" w:lineRule="auto"/>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2(c) of each such 2021 RSU Award Agreement is amended by deleting the subsection in its entirety and inserting the following in lieu thereof:</w:t>
      </w:r>
    </w:p>
    <w:p>
      <w:pPr>
        <w:spacing w:after="0" w:line="158" w:lineRule="exact"/>
        <w:rPr>
          <w:sz w:val="20"/>
          <w:szCs w:val="20"/>
          <w:color w:val="auto"/>
        </w:rPr>
      </w:pPr>
    </w:p>
    <w:p>
      <w:pPr>
        <w:jc w:val="both"/>
        <w:ind w:left="1240" w:hanging="694"/>
        <w:spacing w:after="0" w:line="233" w:lineRule="auto"/>
        <w:tabs>
          <w:tab w:leader="none" w:pos="122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u w:val="single" w:color="auto"/>
          <w:color w:val="auto"/>
        </w:rPr>
        <w:t>Involuntary Separation without Cause</w:t>
      </w:r>
      <w:r>
        <w:rPr>
          <w:rFonts w:ascii="Times New Roman" w:cs="Times New Roman" w:eastAsia="Times New Roman" w:hAnsi="Times New Roman"/>
          <w:sz w:val="22"/>
          <w:szCs w:val="22"/>
          <w:color w:val="auto"/>
        </w:rPr>
        <w:t>. In the event the Company and its Subsidiaries initiate your separation from</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service without Cause, a pro rata portion of the Restricted Stock Units will become vested on the date of such separation from service. In the event you separate from service with the Company and its Subsidiaries in calendar year 2024, after February 26, 2024, pursuant to a Voluntary Exit Incentive Program established by the Company in its discretion after February 26, 2024, a pro rata portion of the Restricted Stock Units will become vested on the date of such separation from service. In either case, the portion of the Restricted Stock Units that will become vested shall be determined by multiplying the total number of Restricted Stock Units by a fraction, the numerator of which is the total number of calendar days during which you were employed by the Company and its Subsidiaries during the period beginning on the Grant Date and ending on the date of such separation from service and the denominator of which is 1097 (rounded up to the next highest whole number of Restricted Stock Units, as necessary), and subtracting the number of Restricted Stock Units that previously became vested, if any.”</w:t>
      </w:r>
    </w:p>
    <w:p>
      <w:pPr>
        <w:spacing w:after="0" w:line="212" w:lineRule="exact"/>
        <w:rPr>
          <w:sz w:val="20"/>
          <w:szCs w:val="20"/>
          <w:color w:val="auto"/>
        </w:rPr>
      </w:pPr>
    </w:p>
    <w:p>
      <w:pPr>
        <w:ind w:right="2340" w:firstLine="8"/>
        <w:spacing w:after="0" w:line="448" w:lineRule="auto"/>
        <w:tabs>
          <w:tab w:leader="none" w:pos="37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hereby amended, the 2021 RSU Award Agreements shall remain in full force and effect. Very truly yours,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ODP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435610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OMNIBUS AMENDMENT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2022 TSR PERFORMANCE SHARE AWARD AGREEMENTS</w:t>
      </w:r>
    </w:p>
    <w:p>
      <w:pPr>
        <w:spacing w:after="0" w:line="200" w:lineRule="exact"/>
        <w:rPr>
          <w:sz w:val="20"/>
          <w:szCs w:val="20"/>
          <w:color w:val="auto"/>
        </w:rPr>
      </w:pPr>
    </w:p>
    <w:p>
      <w:pPr>
        <w:spacing w:after="0" w:line="221"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THIS AMENDMENT </w:t>
      </w:r>
      <w:r>
        <w:rPr>
          <w:rFonts w:ascii="Times New Roman" w:cs="Times New Roman" w:eastAsia="Times New Roman" w:hAnsi="Times New Roman"/>
          <w:sz w:val="22"/>
          <w:szCs w:val="22"/>
          <w:color w:val="auto"/>
        </w:rPr>
        <w:t>is made as of the 26th day of February, 2024, by The ODP Corporation, a Delaware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w:t>
      </w:r>
    </w:p>
    <w:p>
      <w:pPr>
        <w:spacing w:after="0" w:line="150"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Compensation &amp; Talent Committee (the “Committee”) of the Board of Directors of the Company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share awards pursuant to The ODP Corporation 2021 Long-Term Incentive Plan (the “Plan”) as part of its 2022 annual long-term incentive program with a grant date of March 10, 2022 (the “2022 PSUs”);</w:t>
      </w:r>
    </w:p>
    <w:p>
      <w:pPr>
        <w:spacing w:after="0" w:line="194"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2022 PSUs are evidenced by award agreements entitled “2022 TSR PERFORMANCE SHARE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(collectively, the “2022 PSU Award Agreements”);</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Committee has amended the 2022 PSU Award Agreements for the 2022 PSUs that remained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on February 12, 2024, to provide accelerated vesting of such 2022 PSUs in certain situations as specified herein;</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2022 PSU Award Agreements for the 2022 PSUs outstanding on February 26, 2024,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amended as follows, effective February 26, 2024:</w:t>
      </w:r>
    </w:p>
    <w:p>
      <w:pPr>
        <w:spacing w:after="0" w:line="154" w:lineRule="exact"/>
        <w:rPr>
          <w:sz w:val="20"/>
          <w:szCs w:val="20"/>
          <w:color w:val="auto"/>
        </w:rPr>
      </w:pPr>
    </w:p>
    <w:p>
      <w:pPr>
        <w:ind w:left="380" w:hanging="372"/>
        <w:spacing w:after="0" w:line="258" w:lineRule="auto"/>
        <w:tabs>
          <w:tab w:leader="none" w:pos="3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2(b) of each such 2022 PSU Award Agreement is amended by redesignating subsections (iii) and (iv) as subsections (iv) and (v), respectively.</w:t>
      </w:r>
    </w:p>
    <w:p>
      <w:pPr>
        <w:spacing w:after="0" w:line="158" w:lineRule="exact"/>
        <w:rPr>
          <w:rFonts w:ascii="Times New Roman" w:cs="Times New Roman" w:eastAsia="Times New Roman" w:hAnsi="Times New Roman"/>
          <w:sz w:val="22"/>
          <w:szCs w:val="22"/>
          <w:color w:val="auto"/>
        </w:rPr>
      </w:pPr>
    </w:p>
    <w:p>
      <w:pPr>
        <w:ind w:left="380" w:hanging="372"/>
        <w:spacing w:after="0" w:line="258" w:lineRule="auto"/>
        <w:tabs>
          <w:tab w:leader="none" w:pos="3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2(b) of each such 2022 PSU Award Agreement is amended by adding a new subsection (iii) immediately following existing subsection (ii) to read as follows:</w:t>
      </w:r>
    </w:p>
    <w:p>
      <w:pPr>
        <w:spacing w:after="0" w:line="158" w:lineRule="exact"/>
        <w:rPr>
          <w:sz w:val="20"/>
          <w:szCs w:val="20"/>
          <w:color w:val="auto"/>
        </w:rPr>
      </w:pPr>
    </w:p>
    <w:p>
      <w:pPr>
        <w:jc w:val="both"/>
        <w:ind w:left="1500" w:hanging="694"/>
        <w:spacing w:after="0" w:line="244" w:lineRule="auto"/>
        <w:rPr>
          <w:sz w:val="20"/>
          <w:szCs w:val="20"/>
          <w:color w:val="auto"/>
        </w:rPr>
      </w:pPr>
      <w:r>
        <w:rPr>
          <w:rFonts w:ascii="Times New Roman" w:cs="Times New Roman" w:eastAsia="Times New Roman" w:hAnsi="Times New Roman"/>
          <w:sz w:val="22"/>
          <w:szCs w:val="22"/>
          <w:color w:val="auto"/>
        </w:rPr>
        <w:t xml:space="preserve">“iii) </w:t>
      </w:r>
      <w:r>
        <w:rPr>
          <w:rFonts w:ascii="Times New Roman" w:cs="Times New Roman" w:eastAsia="Times New Roman" w:hAnsi="Times New Roman"/>
          <w:sz w:val="22"/>
          <w:szCs w:val="22"/>
          <w:u w:val="single" w:color="auto"/>
          <w:color w:val="auto"/>
        </w:rPr>
        <w:t>Involuntary Termination of Employment without Cause</w:t>
      </w:r>
      <w:r>
        <w:rPr>
          <w:rFonts w:ascii="Times New Roman" w:cs="Times New Roman" w:eastAsia="Times New Roman" w:hAnsi="Times New Roman"/>
          <w:sz w:val="22"/>
          <w:szCs w:val="22"/>
          <w:color w:val="auto"/>
        </w:rPr>
        <w:t>. In the event the Company and its Subsidiaries initiate your termination of employment without Cause within the seventy-five (75) day period ending on the Vesting Date, you will vest in your Eligible Award on the Vesting Date despite your termination of employment.</w:t>
      </w:r>
    </w:p>
    <w:p>
      <w:pPr>
        <w:spacing w:after="0" w:line="200" w:lineRule="exact"/>
        <w:rPr>
          <w:sz w:val="20"/>
          <w:szCs w:val="20"/>
          <w:color w:val="auto"/>
        </w:rPr>
      </w:pPr>
    </w:p>
    <w:p>
      <w:pPr>
        <w:ind w:right="2380" w:firstLine="8"/>
        <w:spacing w:after="0" w:line="448" w:lineRule="auto"/>
        <w:tabs>
          <w:tab w:leader="none" w:pos="37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hereby amended, the 2022 PSU Award Agreements shall remain in full force and effect. Very truly yours,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ODP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ind w:left="10320"/>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OMNIBUS AMENDMENT TO</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2022 RESTRICTED STOCK UNIT AWARD AGREEMENTS</w:t>
      </w:r>
    </w:p>
    <w:p>
      <w:pPr>
        <w:spacing w:after="0" w:line="200" w:lineRule="exact"/>
        <w:rPr>
          <w:sz w:val="20"/>
          <w:szCs w:val="20"/>
          <w:color w:val="auto"/>
        </w:rPr>
      </w:pPr>
    </w:p>
    <w:p>
      <w:pPr>
        <w:spacing w:after="0" w:line="221"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THIS AMENDMENT </w:t>
      </w:r>
      <w:r>
        <w:rPr>
          <w:rFonts w:ascii="Times New Roman" w:cs="Times New Roman" w:eastAsia="Times New Roman" w:hAnsi="Times New Roman"/>
          <w:sz w:val="22"/>
          <w:szCs w:val="22"/>
          <w:color w:val="auto"/>
        </w:rPr>
        <w:t>is made as of the 26th day of February, 2024, by The ODP Corporation, a Delaware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w:t>
      </w:r>
    </w:p>
    <w:p>
      <w:pPr>
        <w:spacing w:after="0" w:line="150"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Compensation &amp; Talent Committee (the “Committee”) of the Board of Directors of the Company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time-based restricted stock unit awards pursuant to The ODP Corporation 2021 Long-Term Incentive Plan (the “Plan”) as part of its 2022 annual long-term incentive program with a grant date of March 10, 2022 (the “2022 RSUs”);</w:t>
      </w:r>
    </w:p>
    <w:p>
      <w:pPr>
        <w:spacing w:after="0" w:line="194"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2022 RSUs are evidenced by award agreements entitled “2022 RESTRICTED STOCK UNIT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“2022 RSU Award Agreements”);</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Committee has amended the 2022 RSU Award Agreements for the 2022 RSUs that remained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on February 26, 2024, to provide accelerated vesting of such 2022 RSUs as specified herein;</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2022 RSU Award Agreements for the 2022 RSUs outstanding on February 26, 2024,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amended as follows, effective February 26, 2024:</w:t>
      </w:r>
    </w:p>
    <w:p>
      <w:pPr>
        <w:spacing w:after="0" w:line="154" w:lineRule="exact"/>
        <w:rPr>
          <w:sz w:val="20"/>
          <w:szCs w:val="20"/>
          <w:color w:val="auto"/>
        </w:rPr>
      </w:pPr>
    </w:p>
    <w:p>
      <w:pPr>
        <w:ind w:left="380" w:hanging="372"/>
        <w:spacing w:after="0" w:line="258" w:lineRule="auto"/>
        <w:tabs>
          <w:tab w:leader="none" w:pos="3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2(c) of each such 2022 RSU Award Agreement is amended by deleting the subsection in its entirety and inserting the following in lieu thereof:</w:t>
      </w:r>
    </w:p>
    <w:p>
      <w:pPr>
        <w:spacing w:after="0" w:line="158" w:lineRule="exact"/>
        <w:rPr>
          <w:sz w:val="20"/>
          <w:szCs w:val="20"/>
          <w:color w:val="auto"/>
        </w:rPr>
      </w:pPr>
    </w:p>
    <w:p>
      <w:pPr>
        <w:jc w:val="both"/>
        <w:ind w:left="1240" w:hanging="694"/>
        <w:spacing w:after="0" w:line="233" w:lineRule="auto"/>
        <w:tabs>
          <w:tab w:leader="none" w:pos="122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u w:val="single" w:color="auto"/>
          <w:color w:val="auto"/>
        </w:rPr>
        <w:t>Involuntary Separation without Cause</w:t>
      </w:r>
      <w:r>
        <w:rPr>
          <w:rFonts w:ascii="Times New Roman" w:cs="Times New Roman" w:eastAsia="Times New Roman" w:hAnsi="Times New Roman"/>
          <w:sz w:val="22"/>
          <w:szCs w:val="22"/>
          <w:color w:val="auto"/>
        </w:rPr>
        <w:t>. In the event the Company and its Subsidiaries initiate your separation from</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service without Cause, a pro rata portion of the Restricted Stock Units will become vested on the date of such separation from service. In the event you separate from service with the Company and its Subsidiaries in calendar year 2024, after February 26, 2024, pursuant to a Voluntary Exit Incentive Program established by the Company in its discretion after February 26, 2024, a pro rata portion of the Restricted Stock Units will become vested on the date of such separation from service. In either case, the portion of the Restricted Stock Units that will become vested shall be determined by multiplying the total number of Restricted Stock Units by a fraction, the numerator of which is the total number of calendar days during which you were employed by the Company and its Subsidiaries during the period beginning on the Grant Date and ending on the date of such separation from service and the denominator of which is 1097 (rounded up to the next highest whole number of Restricted Stock Units, as necessary), and subtracting the number of Restricted Stock Units that previously became vested, if any.”</w:t>
      </w:r>
    </w:p>
    <w:p>
      <w:pPr>
        <w:spacing w:after="0" w:line="212" w:lineRule="exact"/>
        <w:rPr>
          <w:sz w:val="20"/>
          <w:szCs w:val="20"/>
          <w:color w:val="auto"/>
        </w:rPr>
      </w:pPr>
    </w:p>
    <w:p>
      <w:pPr>
        <w:ind w:right="2340" w:firstLine="8"/>
        <w:spacing w:after="0" w:line="448" w:lineRule="auto"/>
        <w:tabs>
          <w:tab w:leader="none" w:pos="37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hereby amended, the 2022 RSU Award Agreements shall remain in full force and effect. Very truly yours,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ODP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ind w:left="9200"/>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794385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38" w:name="page39"/>
    <w:bookmarkEnd w:id="38"/>
    <w:p>
      <w:pPr>
        <w:ind w:left="10320"/>
        <w:spacing w:after="0"/>
        <w:rPr>
          <w:sz w:val="20"/>
          <w:szCs w:val="20"/>
          <w:color w:val="auto"/>
        </w:rPr>
      </w:pPr>
      <w:r>
        <w:rPr>
          <w:rFonts w:ascii="Times New Roman" w:cs="Times New Roman" w:eastAsia="Times New Roman" w:hAnsi="Times New Roman"/>
          <w:sz w:val="17"/>
          <w:szCs w:val="17"/>
          <w:b w:val="1"/>
          <w:bCs w:val="1"/>
          <w:color w:val="auto"/>
        </w:rPr>
        <w:t>Exhibit 10.5</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OMNIBUS AMENDMENT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RESTRICTED STOCK UNIT AWARD AGREEMENTS - CANADA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THIS AMENDMENT </w:t>
      </w:r>
      <w:r>
        <w:rPr>
          <w:rFonts w:ascii="Times New Roman" w:cs="Times New Roman" w:eastAsia="Times New Roman" w:hAnsi="Times New Roman"/>
          <w:sz w:val="22"/>
          <w:szCs w:val="22"/>
          <w:color w:val="auto"/>
        </w:rPr>
        <w:t>is made as of the 26th day of February, 2024, by The ODP Corporation, a Delaware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w:t>
      </w:r>
    </w:p>
    <w:p>
      <w:pPr>
        <w:spacing w:after="0" w:line="150"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Compensation &amp; Talent Committee (the “Committee”) of the Board of Directors of the Company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time-based restricted stock unit awards pursuant to The ODP Corporation 2021 Long-Term Incentive Plan (the “Plan”) as part of its 2023 annual long-term incentive program with a grant date of March 10, 2023 (the “2023 RSUs”);</w:t>
      </w:r>
    </w:p>
    <w:p>
      <w:pPr>
        <w:spacing w:after="0" w:line="194"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2023 RSUs are evidenced by award agreements entitled “2023 RESTRICTED STOCK UNIT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“2023 RSU Award Agreements”);</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Committee has amended the 2023 RSU Award Agreements for the 2023 RSUs that remained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on February 26, 2024, to provide accelerated vesting of such 2023 RSUs as specified herein;</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2023 RSU Award Agreements for the 2023 RSUs outstanding on February 26, 2024,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amended as follows, effective February 26, 2024:</w:t>
      </w:r>
    </w:p>
    <w:p>
      <w:pPr>
        <w:spacing w:after="0" w:line="154" w:lineRule="exact"/>
        <w:rPr>
          <w:sz w:val="20"/>
          <w:szCs w:val="20"/>
          <w:color w:val="auto"/>
        </w:rPr>
      </w:pPr>
    </w:p>
    <w:p>
      <w:pPr>
        <w:ind w:left="380" w:hanging="372"/>
        <w:spacing w:after="0" w:line="258" w:lineRule="auto"/>
        <w:tabs>
          <w:tab w:leader="none" w:pos="3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2(c) of each such 2023 RSU Award Agreement is amended by deleting the subsection in its entirety and inserting the following in lieu thereof:</w:t>
      </w:r>
    </w:p>
    <w:p>
      <w:pPr>
        <w:spacing w:after="0" w:line="158" w:lineRule="exact"/>
        <w:rPr>
          <w:sz w:val="20"/>
          <w:szCs w:val="20"/>
          <w:color w:val="auto"/>
        </w:rPr>
      </w:pPr>
    </w:p>
    <w:p>
      <w:pPr>
        <w:jc w:val="both"/>
        <w:ind w:left="1300" w:hanging="694"/>
        <w:spacing w:after="0" w:line="233" w:lineRule="auto"/>
        <w:tabs>
          <w:tab w:leader="none" w:pos="12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u w:val="single" w:color="auto"/>
          <w:color w:val="auto"/>
        </w:rPr>
        <w:t>Termination of Employment without Cause</w:t>
      </w:r>
      <w:r>
        <w:rPr>
          <w:rFonts w:ascii="Times New Roman" w:cs="Times New Roman" w:eastAsia="Times New Roman" w:hAnsi="Times New Roman"/>
          <w:sz w:val="22"/>
          <w:szCs w:val="22"/>
          <w:color w:val="auto"/>
        </w:rPr>
        <w:t>. In the event the Company and its Subsidiaries initiate your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employment termination without Cause, and the Termination Date occurs prior to the Vesting Date for any Restricted Stock Units, a pro rata portion of the Restricted Stock Units will become vested on the Termination Date. In the event you terminate employment with the Company and its Subsidiaries in calendar year 2024, after February 26, 2024, pursuant to a Voluntary Exit Incentive Program established by the Company in its discretion after February 26, 2024, a pro rata portion of the Restricted Stock Units will become vested on the Termination Date. In either case, the portion of the Restricted Stock Units that will become vested shall be determined by multiplying the total number of Restricted Stock Units by a fraction, the numerator of which is the total number of calendar days during which you were employed by the Company and its Subsidiaries during the period beginning on the Grant Date and ending on the Termination Date and the denominator of which is 1097 (rounded up to the next highest whole number of Restricted Stock Units, as necessary), and subtracting the number of Restricted Stock Units that previously became vested, if any.”</w:t>
      </w:r>
    </w:p>
    <w:p>
      <w:pPr>
        <w:spacing w:after="0" w:line="212" w:lineRule="exact"/>
        <w:rPr>
          <w:sz w:val="20"/>
          <w:szCs w:val="20"/>
          <w:color w:val="auto"/>
        </w:rPr>
      </w:pPr>
    </w:p>
    <w:p>
      <w:pPr>
        <w:ind w:right="2340" w:firstLine="8"/>
        <w:spacing w:after="0" w:line="448" w:lineRule="auto"/>
        <w:tabs>
          <w:tab w:leader="none" w:pos="37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hereby amended, the 2023 RSU Award Agreements shall remain in full force and effect. Very truly yours,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ODP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ind w:left="9200"/>
        <w:spacing w:after="0"/>
        <w:rPr>
          <w:sz w:val="20"/>
          <w:szCs w:val="20"/>
          <w:color w:val="auto"/>
        </w:rPr>
      </w:pPr>
      <w:r>
        <w:rPr>
          <w:rFonts w:ascii="Times New Roman" w:cs="Times New Roman" w:eastAsia="Times New Roman" w:hAnsi="Times New Roman"/>
          <w:sz w:val="17"/>
          <w:szCs w:val="17"/>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794385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40" w:name="page41"/>
    <w:bookmarkEnd w:id="40"/>
    <w:p>
      <w:pPr>
        <w:ind w:left="10320"/>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OMNIBUS AMENDMENT TO</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2023 RESTRICTED STOCK UNIT AWARD AGREEMENTS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THIS AMENDMENT </w:t>
      </w:r>
      <w:r>
        <w:rPr>
          <w:rFonts w:ascii="Times New Roman" w:cs="Times New Roman" w:eastAsia="Times New Roman" w:hAnsi="Times New Roman"/>
          <w:sz w:val="22"/>
          <w:szCs w:val="22"/>
          <w:color w:val="auto"/>
        </w:rPr>
        <w:t>is made as of the 26th day of February, 2024, by The ODP Corporation, a Delaware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w:t>
      </w:r>
    </w:p>
    <w:p>
      <w:pPr>
        <w:spacing w:after="0" w:line="150"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2"/>
          <w:szCs w:val="22"/>
          <w:b w:val="1"/>
          <w:bCs w:val="1"/>
          <w:u w:val="single" w:color="auto"/>
          <w:color w:val="auto"/>
        </w:rPr>
        <w:t>W I T N E S S E T H</w:t>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Compensation &amp; Talent Committee (the “Committee”) of the Board of Directors of the Company granted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time-based restricted stock unit awards pursuant to The ODP Corporation 2021 Long-Term Incentive Plan (the “Plan”) as part of its 2023 annual long-term incentive program with a grant date of March 10, 2023 (the “2023 RSUs”);</w:t>
      </w:r>
    </w:p>
    <w:p>
      <w:pPr>
        <w:spacing w:after="0" w:line="194"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2023 RSUs are evidenced by award agreements entitled “2023 RESTRICTED STOCK UNIT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(the “2023 RSU Award Agreements”);</w:t>
      </w:r>
    </w:p>
    <w:p>
      <w:pPr>
        <w:spacing w:after="0" w:line="17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Committee has amended the 2023 RSU Award Agreements for the 2023 RSUs that remained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on February 26, 2024, to provide accelerated vesting of such 2023 RSUs as specified herein;</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the 2023 RSU Award Agreements for the 2023 RSUs outstanding on February 26, 2024,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amended as follows, effective February 26, 2024:</w:t>
      </w:r>
    </w:p>
    <w:p>
      <w:pPr>
        <w:spacing w:after="0" w:line="154" w:lineRule="exact"/>
        <w:rPr>
          <w:sz w:val="20"/>
          <w:szCs w:val="20"/>
          <w:color w:val="auto"/>
        </w:rPr>
      </w:pPr>
    </w:p>
    <w:p>
      <w:pPr>
        <w:ind w:left="380" w:hanging="372"/>
        <w:spacing w:after="0" w:line="258" w:lineRule="auto"/>
        <w:tabs>
          <w:tab w:leader="none" w:pos="3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2(c) of each such 2023 RSU Award Agreement is amended by deleting the subsection in its entirety and inserting the following in lieu thereof:</w:t>
      </w:r>
    </w:p>
    <w:p>
      <w:pPr>
        <w:spacing w:after="0" w:line="158" w:lineRule="exact"/>
        <w:rPr>
          <w:sz w:val="20"/>
          <w:szCs w:val="20"/>
          <w:color w:val="auto"/>
        </w:rPr>
      </w:pPr>
    </w:p>
    <w:p>
      <w:pPr>
        <w:jc w:val="both"/>
        <w:ind w:left="1240" w:hanging="694"/>
        <w:spacing w:after="0" w:line="233" w:lineRule="auto"/>
        <w:tabs>
          <w:tab w:leader="none" w:pos="122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u w:val="single" w:color="auto"/>
          <w:color w:val="auto"/>
        </w:rPr>
        <w:t>Involuntary Separation without Cause</w:t>
      </w:r>
      <w:r>
        <w:rPr>
          <w:rFonts w:ascii="Times New Roman" w:cs="Times New Roman" w:eastAsia="Times New Roman" w:hAnsi="Times New Roman"/>
          <w:sz w:val="22"/>
          <w:szCs w:val="22"/>
          <w:color w:val="auto"/>
        </w:rPr>
        <w:t>. In the event the Company and its Subsidiaries initiate your separation from</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service without Cause, a pro rata portion of the Restricted Stock Units will become vested on the date of such separation from service. In the event you separate from service with the Company and its Subsidiaries in calendar year 2024, after February 26, 2024, pursuant to a Voluntary Exit Incentive Program established by the Company in its discretion after February 26, 2024, a pro rata portion of the Restricted Stock Units will become vested on the date of such separation from service. In either case, the portion of the Restricted Stock Units that will become vested shall be determined by multiplying the total number of Restricted Stock Units by a fraction, the numerator of which is the total number of calendar days during which you were employed by the Company and its Subsidiaries during the period beginning on the Grant Date and ending on the date of such separation from service and the denominator of which is 1097 (rounded up to the next highest whole number of Restricted Stock Units, as necessary), and subtracting the number of Restricted Stock Units that previously became vested, if any.”</w:t>
      </w:r>
    </w:p>
    <w:p>
      <w:pPr>
        <w:spacing w:after="0" w:line="212" w:lineRule="exact"/>
        <w:rPr>
          <w:sz w:val="20"/>
          <w:szCs w:val="20"/>
          <w:color w:val="auto"/>
        </w:rPr>
      </w:pPr>
    </w:p>
    <w:p>
      <w:pPr>
        <w:ind w:right="2340" w:firstLine="8"/>
        <w:spacing w:after="0" w:line="448" w:lineRule="auto"/>
        <w:tabs>
          <w:tab w:leader="none" w:pos="37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hereby amended, the 2023 RSU Award Agreements shall remain in full force and effect. Very truly yours,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ODP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ind w:left="9200"/>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948690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5"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Gerry P. Smith, certify that:</w:t>
      </w:r>
    </w:p>
    <w:p>
      <w:pPr>
        <w:spacing w:after="0" w:line="117"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ODP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GERRY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6347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Gerry P. Smith</w:t>
      </w:r>
    </w:p>
    <w:p>
      <w:pPr>
        <w:spacing w:after="0" w:line="36"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Title:</w:t>
        <w:tab/>
        <w:t>Chief Executive Officer (Principal Executive Officer)</w:t>
      </w:r>
    </w:p>
    <w:p>
      <w:pPr>
        <w:spacing w:after="0" w:line="36"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 Anthony Scaglione, certify that:</w:t>
      </w:r>
    </w:p>
    <w:p>
      <w:pPr>
        <w:spacing w:after="0" w:line="117"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ODP Corporation;</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 ANTHONY SCAGLIONE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0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 Anthony Scaglione</w:t>
            </w:r>
          </w:p>
        </w:tc>
        <w:tc>
          <w:tcPr>
            <w:tcW w:w="5620" w:type="dxa"/>
            <w:vAlign w:val="bottom"/>
          </w:tcPr>
          <w:p>
            <w:pPr>
              <w:spacing w:after="0"/>
              <w:rPr>
                <w:sz w:val="20"/>
                <w:szCs w:val="20"/>
                <w:color w:val="auto"/>
              </w:rPr>
            </w:pPr>
          </w:p>
        </w:tc>
      </w:tr>
      <w:tr>
        <w:trPr>
          <w:trHeight w:val="22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5620" w:type="dxa"/>
            <w:vAlign w:val="bottom"/>
          </w:tcPr>
          <w:p>
            <w:pPr>
              <w:spacing w:after="0"/>
              <w:rPr>
                <w:sz w:val="19"/>
                <w:szCs w:val="19"/>
                <w:color w:val="auto"/>
              </w:rPr>
            </w:pPr>
          </w:p>
        </w:tc>
      </w:tr>
      <w:tr>
        <w:trPr>
          <w:trHeight w:val="234"/>
        </w:trPr>
        <w:tc>
          <w:tcPr>
            <w:tcW w:w="600" w:type="dxa"/>
            <w:vAlign w:val="bottom"/>
          </w:tcPr>
          <w:p>
            <w:pPr>
              <w:spacing w:after="0"/>
              <w:rPr>
                <w:sz w:val="20"/>
                <w:szCs w:val="20"/>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5620" w:type="dxa"/>
            <w:vAlign w:val="bottom"/>
          </w:tcPr>
          <w:p>
            <w:pPr>
              <w:spacing w:after="0"/>
              <w:rPr>
                <w:sz w:val="20"/>
                <w:szCs w:val="20"/>
                <w:color w:val="auto"/>
              </w:rPr>
            </w:pPr>
          </w:p>
        </w:tc>
      </w:tr>
      <w:tr>
        <w:trPr>
          <w:trHeight w:val="24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8, 2024</w:t>
            </w:r>
          </w:p>
        </w:tc>
        <w:tc>
          <w:tcPr>
            <w:tcW w:w="5620" w:type="dxa"/>
            <w:vAlign w:val="bottom"/>
          </w:tcPr>
          <w:p>
            <w:pPr>
              <w:spacing w:after="0"/>
              <w:rPr>
                <w:sz w:val="21"/>
                <w:szCs w:val="21"/>
                <w:color w:val="auto"/>
              </w:rPr>
            </w:pPr>
          </w:p>
        </w:tc>
      </w:tr>
      <w:tr>
        <w:trPr>
          <w:trHeight w:val="668"/>
        </w:trPr>
        <w:tc>
          <w:tcPr>
            <w:tcW w:w="60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ODP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(the “Report”) of The ODP Corporation (the “Company”) for the quarter ended March 30, 2024, as filed with the U.S. Securities and Exchange Commission on the date hereof, Gerry P. Smith, as Chief Executive Officer of the Company, and D. Anthony Scaglione, as Chief Financial Officer of the Company, each hereby certifies, pursuant to 18 U.S.C. § 1350, as adopted pursuant to § 906 of the Sarbanes-Oxley Act of 2002, that, to each officer’s knowledge:</w:t>
      </w:r>
    </w:p>
    <w:p>
      <w:pPr>
        <w:spacing w:after="0" w:line="72" w:lineRule="exact"/>
        <w:rPr>
          <w:sz w:val="20"/>
          <w:szCs w:val="20"/>
          <w:color w:val="auto"/>
        </w:rPr>
      </w:pPr>
    </w:p>
    <w:p>
      <w:pPr>
        <w:ind w:left="760" w:hanging="75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GERRY 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6347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Gerry P. Smith</w:t>
      </w:r>
    </w:p>
    <w:p>
      <w:pPr>
        <w:spacing w:after="0" w:line="36"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Title:</w:t>
        <w:tab/>
        <w:t>Chief Executive Officer (Principal Executive Officer)</w:t>
      </w:r>
    </w:p>
    <w:p>
      <w:pPr>
        <w:spacing w:after="0" w:line="36"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May 8, 2024</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 ANTHONY SCAGLIONE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 Anthony Scaglione</w:t>
      </w:r>
    </w:p>
    <w:p>
      <w:pPr>
        <w:spacing w:after="0" w:line="36"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Title:</w:t>
        <w:tab/>
        <w:t>Chief Financial Officer (Principal Financial Officer)</w:t>
      </w:r>
    </w:p>
    <w:p>
      <w:pPr>
        <w:spacing w:after="0" w:line="36" w:lineRule="exact"/>
        <w:rPr>
          <w:sz w:val="20"/>
          <w:szCs w:val="20"/>
          <w:color w:val="auto"/>
        </w:rPr>
      </w:pPr>
    </w:p>
    <w:p>
      <w:pPr>
        <w:ind w:left="20"/>
        <w:spacing w:after="0"/>
        <w:tabs>
          <w:tab w:leader="none" w:pos="660" w:val="left"/>
        </w:tabs>
        <w:rPr>
          <w:sz w:val="20"/>
          <w:szCs w:val="20"/>
          <w:color w:val="auto"/>
        </w:rPr>
      </w:pPr>
      <w:r>
        <w:rPr>
          <w:rFonts w:ascii="Times New Roman" w:cs="Times New Roman" w:eastAsia="Times New Roman" w:hAnsi="Times New Roman"/>
          <w:sz w:val="18"/>
          <w:szCs w:val="18"/>
          <w:color w:val="auto"/>
        </w:rPr>
        <w:t>Date:</w:t>
        <w:tab/>
        <w:t>May 8, 2024</w:t>
      </w:r>
    </w:p>
    <w:p>
      <w:pPr>
        <w:spacing w:after="0" w:line="23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 signed original of this certification required by Section 906 has been provided to the Company and will be retained by the Company and furnished to the U.S. Securities and Exchange Commission or its staff upon request.</w:t>
      </w:r>
    </w:p>
    <w:p>
      <w:pPr>
        <w:spacing w:after="0" w:line="20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32"/>
    </w:lvl>
  </w:abstractNum>
  <w:abstractNum w:abstractNumId="6">
    <w:nsid w:val="7FDCC233"/>
    <w:multiLevelType w:val="hybridMultilevel"/>
    <w:lvl w:ilvl="0">
      <w:lvlJc w:val="left"/>
      <w:lvlText w:val="%1"/>
      <w:numFmt w:val="decimal"/>
      <w:start w:val="104"/>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3"/>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2"/>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3"/>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2"/>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2"/>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2"/>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2024-05-08T15:18:01Z</dcterms:created>
  <dcterms:modified xsi:type="dcterms:W3CDTF">2024-05-08T15:18:01Z</dcterms:modified>
</cp:coreProperties>
</file>